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FD29EE">
      <w:pPr>
        <w:framePr w:hSpace="180" w:vSpace="180" w:wrap="around" w:vAnchor="margin" w:hAnchor="margin" w:y="1" w:anchorLock="1"/>
        <w:jc w:val="left"/>
        <w:textAlignment w:val="center"/>
        <w:rPr>
          <w:rFonts w:hint="default" w:ascii="黑体" w:eastAsia="黑体"/>
          <w:kern w:val="0"/>
          <w:szCs w:val="21"/>
          <w:lang w:val="en-US" w:eastAsia="zh-CN"/>
        </w:rPr>
      </w:pPr>
      <w:r>
        <w:rPr>
          <w:rFonts w:eastAsia="黑体"/>
          <w:kern w:val="0"/>
          <w:szCs w:val="21"/>
        </w:rPr>
        <w:t>ICS</w:t>
      </w:r>
      <w:r>
        <w:rPr>
          <w:rFonts w:hint="eastAsia" w:eastAsia="黑体"/>
          <w:kern w:val="0"/>
          <w:szCs w:val="21"/>
          <w:lang w:val="en-US" w:eastAsia="zh-CN"/>
        </w:rPr>
        <w:t xml:space="preserve"> 11.100</w:t>
      </w:r>
    </w:p>
    <w:p w14:paraId="2BD84F36">
      <w:pPr>
        <w:framePr w:hSpace="180" w:vSpace="180" w:wrap="around" w:vAnchor="margin" w:hAnchor="margin" w:y="1" w:anchorLock="1"/>
        <w:jc w:val="left"/>
        <w:textAlignment w:val="center"/>
        <w:rPr>
          <w:rFonts w:hint="default" w:ascii="黑体" w:eastAsia="黑体"/>
          <w:kern w:val="0"/>
          <w:szCs w:val="21"/>
          <w:lang w:val="en-US" w:eastAsia="zh-CN"/>
        </w:rPr>
      </w:pPr>
      <w:r>
        <w:rPr>
          <w:rFonts w:hint="eastAsia" w:ascii="黑体" w:eastAsia="黑体"/>
          <w:kern w:val="0"/>
          <w:szCs w:val="21"/>
          <w:lang w:val="en-US" w:eastAsia="zh-CN"/>
        </w:rPr>
        <w:t>C 10</w:t>
      </w:r>
    </w:p>
    <w:tbl>
      <w:tblPr>
        <w:tblStyle w:val="3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1"/>
      </w:tblGrid>
      <w:tr w14:paraId="1B6D5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tcBorders>
              <w:top w:val="nil"/>
              <w:left w:val="nil"/>
              <w:bottom w:val="nil"/>
              <w:right w:val="nil"/>
            </w:tcBorders>
            <w:shd w:val="clear" w:color="auto" w:fill="auto"/>
          </w:tcPr>
          <w:p w14:paraId="6E5B87D8">
            <w:pPr>
              <w:framePr w:hSpace="180" w:vSpace="180" w:wrap="around" w:vAnchor="margin" w:hAnchor="margin" w:y="1" w:anchorLock="1"/>
              <w:jc w:val="left"/>
              <w:textAlignment w:val="center"/>
              <w:rPr>
                <w:rFonts w:ascii="黑体" w:eastAsia="黑体"/>
                <w:kern w:val="0"/>
                <w:szCs w:val="21"/>
              </w:rPr>
            </w:pPr>
            <w:r>
              <w:rPr>
                <w:rFonts w:ascii="黑体" w:eastAsia="黑体"/>
                <w:kern w:val="0"/>
                <w:szCs w:val="21"/>
              </w:rPr>
              <mc:AlternateContent>
                <mc:Choice Requires="wps">
                  <w:drawing>
                    <wp:anchor distT="0" distB="0" distL="114300" distR="114300" simplePos="0" relativeHeight="251659264" behindDoc="1" locked="0" layoutInCell="1" allowOverlap="1">
                      <wp:simplePos x="0" y="0"/>
                      <wp:positionH relativeFrom="column">
                        <wp:posOffset>-66675</wp:posOffset>
                      </wp:positionH>
                      <wp:positionV relativeFrom="paragraph">
                        <wp:posOffset>0</wp:posOffset>
                      </wp:positionV>
                      <wp:extent cx="866775" cy="198120"/>
                      <wp:effectExtent l="0" t="0" r="0" b="0"/>
                      <wp:wrapNone/>
                      <wp:docPr id="6" name="BAH"/>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BAH" o:spid="_x0000_s1026" o:spt="1" style="position:absolute;left:0pt;margin-left:-5.25pt;margin-top:0pt;height:15.6pt;width:68.25pt;z-index:-251657216;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iuL+zVAAAABwEAAA8AAAAAAAAAAQAg&#10;AAAAIgAAAGRycy9kb3ducmV2LnhtbFBLAQIUABQAAAAIAIdO4kAXp8OdEQIAAC4EAAAOAAAAAAAA&#10;AAEAIAAAACQBAABkcnMvZTJvRG9jLnhtbFBLBQYAAAAABgAGAFkBAACnBQAAAAA=&#10;">
                      <v:fill on="t" focussize="0,0"/>
                      <v:stroke on="f"/>
                      <v:imagedata o:title=""/>
                      <o:lock v:ext="edit" aspectratio="f"/>
                    </v:rect>
                  </w:pict>
                </mc:Fallback>
              </mc:AlternateContent>
            </w:r>
          </w:p>
        </w:tc>
      </w:tr>
    </w:tbl>
    <w:p w14:paraId="0DB3AF34">
      <w:pPr>
        <w:pStyle w:val="83"/>
        <w:framePr w:x="1397" w:y="6277"/>
        <w:rPr>
          <w:sz w:val="44"/>
          <w:szCs w:val="44"/>
        </w:rPr>
      </w:pPr>
      <w:r>
        <w:rPr>
          <w:rFonts w:hint="eastAsia"/>
          <w:sz w:val="44"/>
          <w:szCs w:val="44"/>
        </w:rPr>
        <w:t>On-DNA的酰胺缩合反应标准</w:t>
      </w:r>
    </w:p>
    <w:p w14:paraId="19F7C5B9">
      <w:pPr>
        <w:pStyle w:val="85"/>
        <w:framePr w:x="1397" w:y="6277"/>
        <w:rPr>
          <w:rFonts w:ascii="黑体" w:hAnsi="黑体" w:eastAsia="黑体"/>
        </w:rPr>
      </w:pPr>
      <w:r>
        <w:rPr>
          <w:rFonts w:hint="eastAsia" w:ascii="黑体" w:hAnsi="黑体" w:eastAsia="黑体"/>
        </w:rPr>
        <w:t>Amide Condensation reaction reaction of On</w:t>
      </w:r>
      <w:r>
        <w:rPr>
          <w:rFonts w:hint="eastAsia" w:ascii="黑体" w:hAnsi="黑体" w:eastAsia="黑体"/>
          <w:lang w:val="en-US" w:eastAsia="zh-CN"/>
        </w:rPr>
        <w:t>-</w:t>
      </w:r>
      <w:r>
        <w:rPr>
          <w:rFonts w:hint="eastAsia" w:ascii="黑体" w:hAnsi="黑体" w:eastAsia="黑体"/>
        </w:rPr>
        <w:t>DNA</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29"/>
      </w:tblGrid>
      <w:tr w14:paraId="14E88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9" w:type="dxa"/>
            <w:tcBorders>
              <w:top w:val="nil"/>
              <w:left w:val="nil"/>
              <w:bottom w:val="nil"/>
              <w:right w:val="nil"/>
            </w:tcBorders>
            <w:shd w:val="clear" w:color="auto" w:fill="auto"/>
          </w:tcPr>
          <w:p w14:paraId="3E8B5673">
            <w:pPr>
              <w:pStyle w:val="86"/>
              <w:framePr w:x="1397" w:y="6277"/>
            </w:pPr>
            <w:r>
              <w:rPr>
                <w:rFonts w:hint="eastAsia"/>
              </w:rPr>
              <w:t>（</w:t>
            </w:r>
            <w:r>
              <w:rPr>
                <w:rFonts w:hint="eastAsia"/>
                <w:lang w:val="en-US" w:eastAsia="zh-CN"/>
              </w:rPr>
              <w:t>征求意见稿</w:t>
            </w:r>
            <w:r>
              <w:rPr>
                <w:rFonts w:hint="eastAsia"/>
              </w:rPr>
              <w:t>）</w:t>
            </w:r>
          </w:p>
        </w:tc>
      </w:tr>
      <w:tr w14:paraId="516C1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9" w:type="dxa"/>
            <w:tcBorders>
              <w:top w:val="nil"/>
              <w:left w:val="nil"/>
              <w:bottom w:val="nil"/>
              <w:right w:val="nil"/>
            </w:tcBorders>
            <w:shd w:val="clear" w:color="auto" w:fill="auto"/>
          </w:tcPr>
          <w:p w14:paraId="3DF9C52A">
            <w:pPr>
              <w:pStyle w:val="87"/>
              <w:framePr w:x="1397" w:y="6277"/>
              <w:rPr>
                <w:rFonts w:hint="default" w:eastAsia="宋体"/>
                <w:lang w:val="en-US" w:eastAsia="zh-CN"/>
              </w:rPr>
            </w:pPr>
            <w:r>
              <w:rPr>
                <w:rFonts w:hint="eastAsia"/>
              </w:rPr>
              <w:t>202</w:t>
            </w:r>
            <w:r>
              <w:rPr>
                <w:rFonts w:hint="eastAsia"/>
                <w:lang w:val="en-US" w:eastAsia="zh-CN"/>
              </w:rPr>
              <w:t>3</w:t>
            </w:r>
            <w:r>
              <w:rPr>
                <w:rFonts w:hint="eastAsia"/>
              </w:rPr>
              <w:t>.0</w:t>
            </w:r>
            <w:r>
              <w:rPr>
                <w:rFonts w:hint="eastAsia"/>
                <w:lang w:val="en-US" w:eastAsia="zh-CN"/>
              </w:rPr>
              <w:t>5</w:t>
            </w:r>
            <w:r>
              <w:t>.</w:t>
            </w:r>
            <w:r>
              <w:rPr>
                <w:rFonts w:hint="eastAsia"/>
                <w:lang w:val="en-US" w:eastAsia="zh-CN"/>
              </w:rPr>
              <w:t>10</w:t>
            </w:r>
          </w:p>
        </w:tc>
      </w:tr>
    </w:tbl>
    <w:p w14:paraId="70404C0F">
      <w:pPr>
        <w:pStyle w:val="135"/>
        <w:framePr w:x="1336" w:y="14086"/>
      </w:pPr>
      <w:r>
        <w:rPr>
          <w:rFonts w:ascii="黑体"/>
        </w:rPr>
        <w:t>20</w:t>
      </w:r>
      <w:r>
        <w:rPr>
          <w:rFonts w:hint="eastAsia" w:ascii="黑体"/>
        </w:rPr>
        <w:t>XX</w:t>
      </w:r>
      <w:r>
        <w:rPr>
          <w:rFonts w:ascii="黑体"/>
        </w:rPr>
        <w:t>-</w:t>
      </w:r>
      <w:r>
        <w:rPr>
          <w:rFonts w:hint="eastAsia" w:ascii="黑体"/>
        </w:rPr>
        <w:t>XX</w:t>
      </w:r>
      <w:r>
        <w:rPr>
          <w:rFonts w:ascii="黑体"/>
        </w:rPr>
        <w:t>-</w:t>
      </w:r>
      <w:r>
        <w:rPr>
          <w:rFonts w:hint="eastAsia" w:ascii="黑体"/>
        </w:rPr>
        <w:t>XX</w:t>
      </w:r>
      <w:r>
        <w:rPr>
          <w:rFonts w:hint="eastAsia"/>
        </w:rPr>
        <w:t>发布</w:t>
      </w:r>
      <w:r>
        <mc:AlternateContent>
          <mc:Choice Requires="wps">
            <w:drawing>
              <wp:anchor distT="0" distB="0" distL="114300" distR="114300" simplePos="0" relativeHeight="251662336" behindDoc="0" locked="1" layoutInCell="1" allowOverlap="1">
                <wp:simplePos x="0" y="0"/>
                <wp:positionH relativeFrom="column">
                  <wp:posOffset>-100965</wp:posOffset>
                </wp:positionH>
                <wp:positionV relativeFrom="page">
                  <wp:posOffset>9251950</wp:posOffset>
                </wp:positionV>
                <wp:extent cx="6220460" cy="0"/>
                <wp:effectExtent l="0" t="0" r="0" b="0"/>
                <wp:wrapNone/>
                <wp:docPr id="2" name="Line 10"/>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Line 10" o:spid="_x0000_s1026" o:spt="20" style="position:absolute;left:0pt;margin-left:-7.95pt;margin-top:728.5pt;height:0pt;width:489.8pt;mso-position-vertical-relative:page;z-index:251662336;mso-width-relative:page;mso-height-relative:page;" filled="f" stroked="t" coordsize="21600,21600" o:gfxdata="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cteZ/2QAAAA0BAAAPAAAAAAAAAAEAIAAAACIA&#10;AABkcnMvZG93bnJldi54bWxQSwECFAAUAAAACACHTuJAOWqTg88BAACuAwAADgAAAAAAAAABACAA&#10;AAAoAQAAZHJzL2Uyb0RvYy54bWxQSwUGAAAAAAYABgBZAQAAaQUAAAAA&#10;">
                <v:fill on="f" focussize="0,0"/>
                <v:stroke color="#000000" joinstyle="round"/>
                <v:imagedata o:title=""/>
                <o:lock v:ext="edit" aspectratio="f"/>
                <w10:anchorlock/>
              </v:line>
            </w:pict>
          </mc:Fallback>
        </mc:AlternateContent>
      </w:r>
    </w:p>
    <w:p w14:paraId="23559C15">
      <w:pPr>
        <w:pStyle w:val="136"/>
        <w:framePr w:x="6991"/>
      </w:pPr>
      <w:r>
        <w:rPr>
          <w:rFonts w:ascii="黑体"/>
        </w:rPr>
        <w:t>20</w:t>
      </w:r>
      <w:r>
        <w:rPr>
          <w:rFonts w:hint="eastAsia" w:ascii="黑体"/>
        </w:rPr>
        <w:t>XX</w:t>
      </w:r>
      <w:r>
        <w:rPr>
          <w:rFonts w:ascii="黑体"/>
        </w:rPr>
        <w:t>-</w:t>
      </w:r>
      <w:r>
        <w:rPr>
          <w:rFonts w:hint="eastAsia" w:ascii="黑体"/>
        </w:rPr>
        <w:t>XX</w:t>
      </w:r>
      <w:r>
        <w:rPr>
          <w:rFonts w:ascii="黑体"/>
        </w:rPr>
        <w:t>-</w:t>
      </w:r>
      <w:r>
        <w:rPr>
          <w:rFonts w:hint="eastAsia" w:ascii="黑体"/>
        </w:rPr>
        <w:t>XX</w:t>
      </w:r>
      <w:r>
        <w:rPr>
          <w:rFonts w:hint="eastAsia"/>
        </w:rPr>
        <w:t>实施</w:t>
      </w:r>
    </w:p>
    <w:p w14:paraId="27E707F1">
      <w:pPr>
        <w:pStyle w:val="116"/>
        <w:framePr w:x="2298" w:y="15128"/>
      </w:pPr>
      <w:r>
        <w:rPr>
          <w:rFonts w:hint="eastAsia" w:ascii="Times New Roman"/>
          <w:lang w:eastAsia="zh-CN"/>
        </w:rPr>
        <w:t>深圳市生命科学与生物技术协会</w:t>
      </w:r>
      <w:r>
        <w:rPr>
          <w:rFonts w:hint="eastAsia" w:hAnsi="黑体"/>
        </w:rPr>
        <w:t xml:space="preserve">   </w:t>
      </w:r>
      <w:r>
        <w:rPr>
          <w:rStyle w:val="78"/>
          <w:rFonts w:hint="eastAsia"/>
        </w:rPr>
        <w:t>发布</w:t>
      </w:r>
    </w:p>
    <w:p w14:paraId="5219B1CE">
      <w:pPr>
        <w:pStyle w:val="115"/>
        <w:framePr w:w="6492" w:x="2737" w:y="2357"/>
        <w:rPr>
          <w:rFonts w:ascii="Times New Roman" w:hAnsi="Times New Roman"/>
          <w:sz w:val="84"/>
          <w:szCs w:val="84"/>
        </w:rPr>
      </w:pPr>
      <w:r>
        <w:rPr>
          <w:rFonts w:hAnsi="黑体" w:cs="黑体"/>
          <w:color w:val="000000"/>
          <w:sz w:val="84"/>
          <w:szCs w:val="84"/>
        </w:rPr>
        <mc:AlternateContent>
          <mc:Choice Requires="wps">
            <w:drawing>
              <wp:anchor distT="0" distB="0" distL="114300" distR="114300" simplePos="0" relativeHeight="251660288" behindDoc="1" locked="0" layoutInCell="1" allowOverlap="1">
                <wp:simplePos x="0" y="0"/>
                <wp:positionH relativeFrom="column">
                  <wp:posOffset>2593340</wp:posOffset>
                </wp:positionH>
                <wp:positionV relativeFrom="paragraph">
                  <wp:posOffset>784225</wp:posOffset>
                </wp:positionV>
                <wp:extent cx="2580005" cy="414020"/>
                <wp:effectExtent l="0" t="0" r="0" b="0"/>
                <wp:wrapNone/>
                <wp:docPr id="10" name="矩形 10"/>
                <wp:cNvGraphicFramePr/>
                <a:graphic xmlns:a="http://schemas.openxmlformats.org/drawingml/2006/main">
                  <a:graphicData uri="http://schemas.microsoft.com/office/word/2010/wordprocessingShape">
                    <wps:wsp>
                      <wps:cNvSpPr/>
                      <wps:spPr>
                        <a:xfrm>
                          <a:off x="0" y="0"/>
                          <a:ext cx="2580005" cy="414020"/>
                        </a:xfrm>
                        <a:prstGeom prst="rect">
                          <a:avLst/>
                        </a:prstGeom>
                        <a:solidFill>
                          <a:srgbClr val="FFFFFF"/>
                        </a:solidFill>
                        <a:ln>
                          <a:noFill/>
                        </a:ln>
                        <a:effectLst/>
                      </wps:spPr>
                      <wps:txbx>
                        <w:txbxContent>
                          <w:p w14:paraId="22C7A590">
                            <w:pPr>
                              <w:pStyle w:val="52"/>
                              <w:wordWrap w:val="0"/>
                              <w:spacing w:before="156" w:after="156"/>
                              <w:rPr>
                                <w:rFonts w:hint="default" w:hAnsi="黑体" w:eastAsia="黑体"/>
                                <w:lang w:val="en-US" w:eastAsia="zh-CN"/>
                              </w:rPr>
                            </w:pPr>
                            <w:r>
                              <w:rPr>
                                <w:rFonts w:hAnsi="黑体"/>
                              </w:rPr>
                              <w:t>T/</w:t>
                            </w:r>
                            <w:r>
                              <w:rPr>
                                <w:rFonts w:hint="eastAsia" w:hAnsi="黑体"/>
                                <w:lang w:val="en-US" w:eastAsia="zh-CN"/>
                              </w:rPr>
                              <w:t>SZLSBA</w:t>
                            </w:r>
                            <w:r>
                              <w:rPr>
                                <w:rFonts w:hAnsi="黑体"/>
                              </w:rPr>
                              <w:t xml:space="preserve"> </w:t>
                            </w:r>
                            <w:r>
                              <w:rPr>
                                <w:rFonts w:hint="eastAsia" w:hAnsi="黑体"/>
                                <w:lang w:val="en-US" w:eastAsia="zh-CN"/>
                              </w:rPr>
                              <w:t>XX</w:t>
                            </w:r>
                            <w:r>
                              <w:rPr>
                                <w:rFonts w:hint="eastAsia" w:hAnsi="黑体"/>
                              </w:rPr>
                              <w:t>-20</w:t>
                            </w:r>
                            <w:r>
                              <w:rPr>
                                <w:rFonts w:hint="eastAsia" w:hAnsi="黑体"/>
                                <w:lang w:val="en-US" w:eastAsia="zh-CN"/>
                              </w:rPr>
                              <w:t>23</w:t>
                            </w:r>
                          </w:p>
                          <w:p w14:paraId="1E5E5FD0">
                            <w:pPr>
                              <w:pStyle w:val="52"/>
                              <w:wordWrap w:val="0"/>
                              <w:spacing w:before="156" w:after="156"/>
                              <w:rPr>
                                <w:rFonts w:hAnsi="黑体"/>
                              </w:rPr>
                            </w:pPr>
                          </w:p>
                          <w:p w14:paraId="219369C2">
                            <w:pPr>
                              <w:pStyle w:val="52"/>
                              <w:spacing w:before="156" w:after="156"/>
                              <w:rPr>
                                <w:rFonts w:ascii="Times New Roman"/>
                              </w:rPr>
                            </w:pPr>
                          </w:p>
                          <w:p w14:paraId="2D72C001">
                            <w:pPr>
                              <w:pStyle w:val="52"/>
                              <w:spacing w:before="156" w:after="156"/>
                              <w:rPr>
                                <w:rFonts w:ascii="Times New Roman"/>
                              </w:rPr>
                            </w:pPr>
                          </w:p>
                          <w:p w14:paraId="1A56FF5D"/>
                        </w:txbxContent>
                      </wps:txbx>
                      <wps:bodyPr upright="1"/>
                    </wps:wsp>
                  </a:graphicData>
                </a:graphic>
              </wp:anchor>
            </w:drawing>
          </mc:Choice>
          <mc:Fallback>
            <w:pict>
              <v:rect id="_x0000_s1026" o:spid="_x0000_s1026" o:spt="1" style="position:absolute;left:0pt;margin-left:204.2pt;margin-top:61.75pt;height:32.6pt;width:203.15pt;z-index:-251656192;mso-width-relative:page;mso-height-relative:page;" fillcolor="#FFFFFF" filled="t" stroked="f" coordsize="21600,21600" o:gfxdata="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CX0782AAAAAsBAAAPAAAAAAAAAAEAIAAAACIAAABkcnMvZG93bnJldi54bWxQSwEC&#10;FAAUAAAACACHTuJAXnK297sBAAB6AwAADgAAAAAAAAABACAAAAAnAQAAZHJzL2Uyb0RvYy54bWxQ&#10;SwUGAAAAAAYABgBZAQAAVAUAAAAA&#10;">
                <v:fill on="t" focussize="0,0"/>
                <v:stroke on="f"/>
                <v:imagedata o:title=""/>
                <o:lock v:ext="edit" aspectratio="f"/>
                <v:textbox>
                  <w:txbxContent>
                    <w:p w14:paraId="22C7A590">
                      <w:pPr>
                        <w:pStyle w:val="52"/>
                        <w:wordWrap w:val="0"/>
                        <w:spacing w:before="156" w:after="156"/>
                        <w:rPr>
                          <w:rFonts w:hint="default" w:hAnsi="黑体" w:eastAsia="黑体"/>
                          <w:lang w:val="en-US" w:eastAsia="zh-CN"/>
                        </w:rPr>
                      </w:pPr>
                      <w:r>
                        <w:rPr>
                          <w:rFonts w:hAnsi="黑体"/>
                        </w:rPr>
                        <w:t>T/</w:t>
                      </w:r>
                      <w:r>
                        <w:rPr>
                          <w:rFonts w:hint="eastAsia" w:hAnsi="黑体"/>
                          <w:lang w:val="en-US" w:eastAsia="zh-CN"/>
                        </w:rPr>
                        <w:t>SZLSBA</w:t>
                      </w:r>
                      <w:r>
                        <w:rPr>
                          <w:rFonts w:hAnsi="黑体"/>
                        </w:rPr>
                        <w:t xml:space="preserve"> </w:t>
                      </w:r>
                      <w:r>
                        <w:rPr>
                          <w:rFonts w:hint="eastAsia" w:hAnsi="黑体"/>
                          <w:lang w:val="en-US" w:eastAsia="zh-CN"/>
                        </w:rPr>
                        <w:t>XX</w:t>
                      </w:r>
                      <w:r>
                        <w:rPr>
                          <w:rFonts w:hint="eastAsia" w:hAnsi="黑体"/>
                        </w:rPr>
                        <w:t>-20</w:t>
                      </w:r>
                      <w:r>
                        <w:rPr>
                          <w:rFonts w:hint="eastAsia" w:hAnsi="黑体"/>
                          <w:lang w:val="en-US" w:eastAsia="zh-CN"/>
                        </w:rPr>
                        <w:t>23</w:t>
                      </w:r>
                    </w:p>
                    <w:p w14:paraId="1E5E5FD0">
                      <w:pPr>
                        <w:pStyle w:val="52"/>
                        <w:wordWrap w:val="0"/>
                        <w:spacing w:before="156" w:after="156"/>
                        <w:rPr>
                          <w:rFonts w:hAnsi="黑体"/>
                        </w:rPr>
                      </w:pPr>
                    </w:p>
                    <w:p w14:paraId="219369C2">
                      <w:pPr>
                        <w:pStyle w:val="52"/>
                        <w:spacing w:before="156" w:after="156"/>
                        <w:rPr>
                          <w:rFonts w:ascii="Times New Roman"/>
                        </w:rPr>
                      </w:pPr>
                    </w:p>
                    <w:p w14:paraId="2D72C001">
                      <w:pPr>
                        <w:pStyle w:val="52"/>
                        <w:spacing w:before="156" w:after="156"/>
                        <w:rPr>
                          <w:rFonts w:ascii="Times New Roman"/>
                        </w:rPr>
                      </w:pPr>
                    </w:p>
                    <w:p w14:paraId="1A56FF5D"/>
                  </w:txbxContent>
                </v:textbox>
              </v:rect>
            </w:pict>
          </mc:Fallback>
        </mc:AlternateContent>
      </w:r>
      <w:r>
        <w:rPr>
          <w:rFonts w:ascii="Times New Roman" w:hAnsi="Times New Roman"/>
          <w:sz w:val="84"/>
          <w:szCs w:val="84"/>
        </w:rPr>
        <w:t>团体标准</w:t>
      </w:r>
    </w:p>
    <w:p w14:paraId="47C23070">
      <w:pPr>
        <w:pStyle w:val="25"/>
      </w:pPr>
    </w:p>
    <w:p w14:paraId="3C725C0C"/>
    <w:p w14:paraId="6DD2F58B"/>
    <w:p w14:paraId="6B9310B1"/>
    <w:p w14:paraId="560BB9A7"/>
    <w:p w14:paraId="4410D76A">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168275</wp:posOffset>
                </wp:positionV>
                <wp:extent cx="6273165" cy="0"/>
                <wp:effectExtent l="0" t="0" r="0" b="0"/>
                <wp:wrapNone/>
                <wp:docPr id="1" name="直线 15"/>
                <wp:cNvGraphicFramePr/>
                <a:graphic xmlns:a="http://schemas.openxmlformats.org/drawingml/2006/main">
                  <a:graphicData uri="http://schemas.microsoft.com/office/word/2010/wordprocessingShape">
                    <wps:wsp>
                      <wps:cNvCnPr/>
                      <wps:spPr>
                        <a:xfrm>
                          <a:off x="0" y="0"/>
                          <a:ext cx="627316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5" o:spid="_x0000_s1026" o:spt="20" style="position:absolute;left:0pt;margin-top:13.25pt;height:0pt;width:493.95pt;mso-position-horizontal:right;mso-position-horizontal-relative:margin;z-index:251661312;mso-width-relative:page;mso-height-relative:page;" filled="f" stroked="t" coordsize="21600,21600" o:gfxdata="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dz4Bq9QAAAAGAQAA&#10;DwAAAAAAAAABACAAAAAiAAAAZHJzL2Rvd25yZXYueG1sUEsBAhQAFAAAAAgAh07iQCajrx7kAQAA&#10;3gMAAA4AAAAAAAAAAQAgAAAAIwEAAGRycy9lMm9Eb2MueG1sUEsFBgAAAAAGAAYAWQEAAHkFAAAA&#10;AA==&#10;">
                <v:fill on="f" focussize="0,0"/>
                <v:stroke color="#000000" joinstyle="round"/>
                <v:imagedata o:title=""/>
                <o:lock v:ext="edit" aspectratio="f"/>
              </v:line>
            </w:pict>
          </mc:Fallback>
        </mc:AlternateContent>
      </w:r>
    </w:p>
    <w:p w14:paraId="25D901F2">
      <w:pPr>
        <w:sectPr>
          <w:headerReference r:id="rId3" w:type="even"/>
          <w:footerReference r:id="rId4" w:type="even"/>
          <w:pgSz w:w="11906" w:h="16838"/>
          <w:pgMar w:top="567" w:right="850" w:bottom="1134" w:left="1418" w:header="0" w:footer="0" w:gutter="0"/>
          <w:pgNumType w:start="1"/>
          <w:cols w:space="425" w:num="1"/>
          <w:titlePg/>
          <w:docGrid w:type="lines" w:linePitch="312" w:charSpace="0"/>
        </w:sectPr>
      </w:pPr>
      <w:bookmarkStart w:id="74" w:name="_GoBack"/>
      <w:bookmarkEnd w:id="74"/>
    </w:p>
    <w:p w14:paraId="6ACB7D3B">
      <w:pPr>
        <w:pStyle w:val="55"/>
      </w:pPr>
      <w:bookmarkStart w:id="0" w:name="_Toc28857"/>
      <w:bookmarkStart w:id="1" w:name="_Toc29546"/>
      <w:bookmarkStart w:id="2" w:name="_Toc15022398"/>
      <w:bookmarkStart w:id="3" w:name="_Toc5755"/>
      <w:bookmarkStart w:id="4" w:name="_Toc32023"/>
      <w:bookmarkStart w:id="5" w:name="_Toc30181"/>
      <w:bookmarkStart w:id="6" w:name="_Toc34814874"/>
      <w:bookmarkStart w:id="7" w:name="_Toc45117178"/>
      <w:bookmarkStart w:id="8" w:name="_Toc15029746"/>
      <w:r>
        <w:rPr>
          <w:rFonts w:hint="eastAsia"/>
        </w:rPr>
        <w:t>目</w:t>
      </w:r>
      <w:bookmarkStart w:id="9" w:name="BKML"/>
      <w:r>
        <w:rPr>
          <w:rFonts w:hAnsi="黑体"/>
        </w:rPr>
        <w:t>  </w:t>
      </w:r>
      <w:r>
        <w:rPr>
          <w:rFonts w:hint="eastAsia"/>
        </w:rPr>
        <w:t>次</w:t>
      </w:r>
      <w:bookmarkEnd w:id="0"/>
      <w:bookmarkEnd w:id="1"/>
      <w:bookmarkEnd w:id="2"/>
      <w:bookmarkEnd w:id="3"/>
      <w:bookmarkEnd w:id="4"/>
      <w:bookmarkEnd w:id="5"/>
      <w:bookmarkEnd w:id="6"/>
      <w:bookmarkEnd w:id="7"/>
      <w:bookmarkEnd w:id="8"/>
      <w:bookmarkEnd w:id="9"/>
    </w:p>
    <w:p w14:paraId="54361E1B">
      <w:pPr>
        <w:pStyle w:val="30"/>
        <w:tabs>
          <w:tab w:val="right" w:leader="dot" w:pos="9354"/>
          <w:tab w:val="clear" w:pos="9242"/>
        </w:tabs>
        <w:spacing w:line="400" w:lineRule="exact"/>
        <w:rPr>
          <w:rFonts w:asciiTheme="minorEastAsia" w:hAnsiTheme="minorEastAsia" w:eastAsiaTheme="minorEastAsia"/>
        </w:rPr>
      </w:pPr>
      <w:r>
        <w:fldChar w:fldCharType="begin"/>
      </w:r>
      <w:r>
        <w:instrText xml:space="preserve"> HYPERLINK \l "_Toc94014628" </w:instrText>
      </w:r>
      <w:r>
        <w:fldChar w:fldCharType="separate"/>
      </w:r>
      <w:r>
        <w:fldChar w:fldCharType="begin"/>
      </w:r>
      <w:r>
        <w:instrText xml:space="preserve"> HYPERLINK \l "_Toc20575" </w:instrText>
      </w:r>
      <w:r>
        <w:fldChar w:fldCharType="separate"/>
      </w:r>
      <w:r>
        <w:rPr>
          <w:rFonts w:hint="eastAsia" w:asciiTheme="minorEastAsia" w:hAnsiTheme="minorEastAsia" w:eastAsiaTheme="minorEastAsia"/>
        </w:rPr>
        <w:t>前言</w:t>
      </w:r>
      <w:r>
        <w:rPr>
          <w:rFonts w:asciiTheme="minorEastAsia" w:hAnsiTheme="minorEastAsia" w:eastAsiaTheme="minorEastAsia"/>
        </w:rPr>
        <w:tab/>
      </w:r>
      <w:r>
        <w:rPr>
          <w:rFonts w:asciiTheme="minorEastAsia" w:hAnsiTheme="minorEastAsia" w:eastAsiaTheme="minorEastAsia"/>
        </w:rPr>
        <w:fldChar w:fldCharType="end"/>
      </w:r>
      <w:r>
        <w:rPr>
          <w:rFonts w:hint="eastAsia"/>
        </w:rPr>
        <w:t>II</w:t>
      </w:r>
    </w:p>
    <w:p w14:paraId="55B5915A">
      <w:pPr>
        <w:tabs>
          <w:tab w:val="right" w:leader="dot" w:pos="9344"/>
        </w:tabs>
        <w:adjustRightInd w:val="0"/>
        <w:spacing w:line="400" w:lineRule="exact"/>
        <w:rPr>
          <w:rFonts w:asciiTheme="minorEastAsia" w:hAnsiTheme="minorEastAsia" w:eastAsiaTheme="minorEastAsia"/>
        </w:rPr>
      </w:pPr>
      <w:r>
        <w:rPr>
          <w:rFonts w:ascii="宋体" w:hAnsi="Calibri"/>
          <w:szCs w:val="21"/>
        </w:rPr>
        <w:fldChar w:fldCharType="end"/>
      </w:r>
      <w:r>
        <w:rPr>
          <w:rFonts w:hint="eastAsia" w:cs="宋体" w:asciiTheme="minorEastAsia" w:hAnsiTheme="minorEastAsia" w:eastAsiaTheme="minorEastAsia"/>
        </w:rPr>
        <w:fldChar w:fldCharType="begin"/>
      </w:r>
      <w:r>
        <w:rPr>
          <w:rFonts w:hint="eastAsia" w:cs="宋体" w:asciiTheme="minorEastAsia" w:hAnsiTheme="minorEastAsia" w:eastAsiaTheme="minorEastAsia"/>
        </w:rPr>
        <w:instrText xml:space="preserve"> TOC \o "1-2" \h \z \u </w:instrText>
      </w:r>
      <w:r>
        <w:rPr>
          <w:rFonts w:hint="eastAsia" w:cs="宋体" w:asciiTheme="minorEastAsia" w:hAnsiTheme="minorEastAsia" w:eastAsiaTheme="minorEastAsia"/>
        </w:rPr>
        <w:fldChar w:fldCharType="separate"/>
      </w:r>
      <w:r>
        <w:fldChar w:fldCharType="begin"/>
      </w:r>
      <w:r>
        <w:instrText xml:space="preserve"> HYPERLINK \l "_Toc8722" </w:instrText>
      </w:r>
      <w:r>
        <w:fldChar w:fldCharType="separate"/>
      </w:r>
      <w:r>
        <w:fldChar w:fldCharType="end"/>
      </w:r>
      <w:r>
        <w:fldChar w:fldCharType="begin"/>
      </w:r>
      <w:r>
        <w:instrText xml:space="preserve"> HYPERLINK \l "_Toc23618" </w:instrText>
      </w:r>
      <w:r>
        <w:fldChar w:fldCharType="separate"/>
      </w:r>
      <w:sdt>
        <w:sdtPr>
          <w:rPr>
            <w:rFonts w:hint="eastAsia" w:asciiTheme="minorEastAsia" w:hAnsiTheme="minorEastAsia" w:eastAsiaTheme="minorEastAsia" w:cstheme="minorBidi"/>
            <w:szCs w:val="32"/>
          </w:rPr>
          <w:alias w:val="标准名称"/>
          <w:tag w:val="标准名称"/>
          <w:id w:val="-1523231755"/>
          <w:lock w:val="sdtLocked"/>
          <w:placeholder>
            <w:docPart w:val="{0b88b656-0384-4ed9-a499-7c9a6dcd25e4}"/>
          </w:placeholder>
          <w:text w:multiLine="1"/>
        </w:sdtPr>
        <w:sdtEndPr>
          <w:rPr>
            <w:rFonts w:hint="eastAsia" w:asciiTheme="minorEastAsia" w:hAnsiTheme="minorEastAsia" w:eastAsiaTheme="minorEastAsia" w:cstheme="minorBidi"/>
            <w:szCs w:val="32"/>
          </w:rPr>
        </w:sdtEndPr>
        <w:sdtContent>
          <w:r>
            <w:rPr>
              <w:rFonts w:asciiTheme="minorEastAsia" w:hAnsiTheme="minorEastAsia" w:eastAsiaTheme="minorEastAsia" w:cstheme="minorBidi"/>
              <w:szCs w:val="32"/>
            </w:rPr>
            <w:t>1</w:t>
          </w:r>
          <w:r>
            <w:rPr>
              <w:rFonts w:hint="eastAsia" w:asciiTheme="minorEastAsia" w:hAnsiTheme="minorEastAsia" w:eastAsiaTheme="minorEastAsia" w:cstheme="minorBidi"/>
              <w:szCs w:val="32"/>
            </w:rPr>
            <w:t xml:space="preserve"> </w:t>
          </w:r>
          <w:r>
            <w:rPr>
              <w:rFonts w:asciiTheme="minorEastAsia" w:hAnsiTheme="minorEastAsia" w:eastAsiaTheme="minorEastAsia" w:cstheme="minorBidi"/>
              <w:szCs w:val="32"/>
            </w:rPr>
            <w:t xml:space="preserve"> </w:t>
          </w:r>
          <w:r>
            <w:rPr>
              <w:rFonts w:hint="eastAsia" w:asciiTheme="minorEastAsia" w:hAnsiTheme="minorEastAsia" w:eastAsiaTheme="minorEastAsia" w:cstheme="minorBidi"/>
              <w:szCs w:val="32"/>
            </w:rPr>
            <w:t>范围</w:t>
          </w:r>
        </w:sdtContent>
      </w:sdt>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_Toc23618 \h </w:instrText>
      </w:r>
      <w:r>
        <w:rPr>
          <w:rFonts w:asciiTheme="minorEastAsia" w:hAnsiTheme="minorEastAsia" w:eastAsiaTheme="minorEastAsia"/>
        </w:rPr>
        <w:fldChar w:fldCharType="separate"/>
      </w:r>
      <w:r>
        <w:rPr>
          <w:rFonts w:asciiTheme="minorEastAsia" w:hAnsiTheme="minorEastAsia" w:eastAsiaTheme="minorEastAsia"/>
        </w:rPr>
        <w:t>1</w:t>
      </w:r>
      <w:r>
        <w:rPr>
          <w:rFonts w:asciiTheme="minorEastAsia" w:hAnsiTheme="minorEastAsia" w:eastAsiaTheme="minorEastAsia"/>
        </w:rPr>
        <w:fldChar w:fldCharType="end"/>
      </w:r>
      <w:r>
        <w:rPr>
          <w:rFonts w:asciiTheme="minorEastAsia" w:hAnsiTheme="minorEastAsia" w:eastAsiaTheme="minorEastAsia"/>
        </w:rPr>
        <w:fldChar w:fldCharType="end"/>
      </w:r>
    </w:p>
    <w:p w14:paraId="43CFED58">
      <w:pPr>
        <w:pStyle w:val="30"/>
        <w:tabs>
          <w:tab w:val="right" w:leader="dot" w:pos="9354"/>
          <w:tab w:val="clear" w:pos="9242"/>
        </w:tabs>
        <w:spacing w:line="400" w:lineRule="exact"/>
        <w:rPr>
          <w:rFonts w:asciiTheme="minorEastAsia" w:hAnsiTheme="minorEastAsia" w:eastAsiaTheme="minorEastAsia"/>
        </w:rPr>
      </w:pPr>
      <w:r>
        <w:fldChar w:fldCharType="begin"/>
      </w:r>
      <w:r>
        <w:instrText xml:space="preserve"> HYPERLINK \l "_Toc20575" </w:instrText>
      </w:r>
      <w:r>
        <w:fldChar w:fldCharType="separate"/>
      </w:r>
      <w:r>
        <w:rPr>
          <w:rFonts w:hint="eastAsia" w:asciiTheme="minorEastAsia" w:hAnsiTheme="minorEastAsia" w:eastAsiaTheme="minorEastAsia"/>
        </w:rPr>
        <w:t xml:space="preserve">2 </w:t>
      </w:r>
      <w:r>
        <w:rPr>
          <w:rFonts w:asciiTheme="minorEastAsia" w:hAnsiTheme="minorEastAsia" w:eastAsiaTheme="minorEastAsia"/>
        </w:rPr>
        <w:t xml:space="preserve"> 规范性引用文件</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_Toc20575 \h </w:instrText>
      </w:r>
      <w:r>
        <w:rPr>
          <w:rFonts w:asciiTheme="minorEastAsia" w:hAnsiTheme="minorEastAsia" w:eastAsiaTheme="minorEastAsia"/>
        </w:rPr>
        <w:fldChar w:fldCharType="separate"/>
      </w:r>
      <w:r>
        <w:rPr>
          <w:rFonts w:asciiTheme="minorEastAsia" w:hAnsiTheme="minorEastAsia" w:eastAsiaTheme="minorEastAsia"/>
        </w:rPr>
        <w:t>1</w:t>
      </w:r>
      <w:r>
        <w:rPr>
          <w:rFonts w:asciiTheme="minorEastAsia" w:hAnsiTheme="minorEastAsia" w:eastAsiaTheme="minorEastAsia"/>
        </w:rPr>
        <w:fldChar w:fldCharType="end"/>
      </w:r>
      <w:r>
        <w:rPr>
          <w:rFonts w:asciiTheme="minorEastAsia" w:hAnsiTheme="minorEastAsia" w:eastAsiaTheme="minorEastAsia"/>
        </w:rPr>
        <w:fldChar w:fldCharType="end"/>
      </w:r>
    </w:p>
    <w:p w14:paraId="65DF6155">
      <w:pPr>
        <w:pStyle w:val="30"/>
        <w:tabs>
          <w:tab w:val="right" w:leader="dot" w:pos="9354"/>
          <w:tab w:val="clear" w:pos="9242"/>
        </w:tabs>
        <w:spacing w:line="400" w:lineRule="exact"/>
        <w:rPr>
          <w:rFonts w:asciiTheme="minorEastAsia" w:hAnsiTheme="minorEastAsia" w:eastAsiaTheme="minorEastAsia"/>
        </w:rPr>
      </w:pPr>
      <w:r>
        <w:fldChar w:fldCharType="begin"/>
      </w:r>
      <w:r>
        <w:instrText xml:space="preserve"> HYPERLINK \l "_Toc20227" </w:instrText>
      </w:r>
      <w:r>
        <w:fldChar w:fldCharType="separate"/>
      </w:r>
      <w:r>
        <w:rPr>
          <w:rFonts w:hint="eastAsia" w:asciiTheme="minorEastAsia" w:hAnsiTheme="minorEastAsia" w:eastAsiaTheme="minorEastAsia"/>
        </w:rPr>
        <w:t xml:space="preserve">3 </w:t>
      </w:r>
      <w:r>
        <w:rPr>
          <w:rFonts w:asciiTheme="minorEastAsia" w:hAnsiTheme="minorEastAsia" w:eastAsiaTheme="minorEastAsia"/>
        </w:rPr>
        <w:t xml:space="preserve"> </w:t>
      </w:r>
      <w:r>
        <w:rPr>
          <w:rFonts w:hint="eastAsia" w:asciiTheme="minorEastAsia" w:hAnsiTheme="minorEastAsia" w:eastAsiaTheme="minorEastAsia"/>
        </w:rPr>
        <w:t>术语</w:t>
      </w:r>
      <w:r>
        <w:rPr>
          <w:rFonts w:asciiTheme="minorEastAsia" w:hAnsiTheme="minorEastAsia" w:eastAsiaTheme="minorEastAsia"/>
        </w:rPr>
        <w:t>和定义</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缩略语</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_Toc20227 \h </w:instrText>
      </w:r>
      <w:r>
        <w:rPr>
          <w:rFonts w:asciiTheme="minorEastAsia" w:hAnsiTheme="minorEastAsia" w:eastAsiaTheme="minorEastAsia"/>
        </w:rPr>
        <w:fldChar w:fldCharType="separate"/>
      </w:r>
      <w:r>
        <w:rPr>
          <w:rFonts w:asciiTheme="minorEastAsia" w:hAnsiTheme="minorEastAsia" w:eastAsiaTheme="minorEastAsia"/>
        </w:rPr>
        <w:t>1</w:t>
      </w:r>
      <w:r>
        <w:rPr>
          <w:rFonts w:asciiTheme="minorEastAsia" w:hAnsiTheme="minorEastAsia" w:eastAsiaTheme="minorEastAsia"/>
        </w:rPr>
        <w:fldChar w:fldCharType="end"/>
      </w:r>
      <w:r>
        <w:rPr>
          <w:rFonts w:asciiTheme="minorEastAsia" w:hAnsiTheme="minorEastAsia" w:eastAsiaTheme="minorEastAsia"/>
        </w:rPr>
        <w:fldChar w:fldCharType="end"/>
      </w:r>
    </w:p>
    <w:p w14:paraId="13AD80EC">
      <w:pPr>
        <w:pStyle w:val="30"/>
        <w:tabs>
          <w:tab w:val="right" w:leader="dot" w:pos="9354"/>
          <w:tab w:val="clear" w:pos="9242"/>
        </w:tabs>
        <w:spacing w:line="400" w:lineRule="exact"/>
        <w:rPr>
          <w:rFonts w:asciiTheme="minorEastAsia" w:hAnsiTheme="minorEastAsia" w:eastAsiaTheme="minorEastAsia"/>
        </w:rPr>
      </w:pPr>
      <w:r>
        <w:fldChar w:fldCharType="begin"/>
      </w:r>
      <w:r>
        <w:instrText xml:space="preserve"> HYPERLINK \l "_Toc23619" </w:instrText>
      </w:r>
      <w:r>
        <w:fldChar w:fldCharType="separate"/>
      </w:r>
      <w:r>
        <w:rPr>
          <w:rFonts w:hint="eastAsia" w:asciiTheme="minorEastAsia" w:hAnsiTheme="minorEastAsia" w:eastAsiaTheme="minorEastAsia"/>
        </w:rPr>
        <w:t xml:space="preserve">4 </w:t>
      </w:r>
      <w:r>
        <w:rPr>
          <w:rFonts w:asciiTheme="minorEastAsia" w:hAnsiTheme="minorEastAsia" w:eastAsiaTheme="minorEastAsia"/>
        </w:rPr>
        <w:t xml:space="preserve"> </w:t>
      </w:r>
      <w:r>
        <w:rPr>
          <w:rFonts w:hint="eastAsia" w:asciiTheme="minorEastAsia" w:hAnsiTheme="minorEastAsia" w:eastAsiaTheme="minorEastAsia"/>
          <w:lang w:val="en-US" w:eastAsia="zh-CN"/>
        </w:rPr>
        <w:t>原理</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_Toc23619 \h </w:instrText>
      </w:r>
      <w:r>
        <w:rPr>
          <w:rFonts w:asciiTheme="minorEastAsia" w:hAnsiTheme="minorEastAsia" w:eastAsiaTheme="minorEastAsia"/>
        </w:rPr>
        <w:fldChar w:fldCharType="separate"/>
      </w:r>
      <w:r>
        <w:rPr>
          <w:rFonts w:asciiTheme="minorEastAsia" w:hAnsiTheme="minorEastAsia" w:eastAsiaTheme="minorEastAsia"/>
        </w:rPr>
        <w:t>2</w:t>
      </w:r>
      <w:r>
        <w:rPr>
          <w:rFonts w:asciiTheme="minorEastAsia" w:hAnsiTheme="minorEastAsia" w:eastAsiaTheme="minorEastAsia"/>
        </w:rPr>
        <w:fldChar w:fldCharType="end"/>
      </w:r>
      <w:r>
        <w:rPr>
          <w:rFonts w:asciiTheme="minorEastAsia" w:hAnsiTheme="minorEastAsia" w:eastAsiaTheme="minorEastAsia"/>
        </w:rPr>
        <w:fldChar w:fldCharType="end"/>
      </w:r>
    </w:p>
    <w:p w14:paraId="000164E4">
      <w:pPr>
        <w:pStyle w:val="30"/>
        <w:tabs>
          <w:tab w:val="right" w:leader="dot" w:pos="9354"/>
          <w:tab w:val="clear" w:pos="9242"/>
        </w:tabs>
        <w:spacing w:line="400" w:lineRule="exact"/>
        <w:rPr>
          <w:rFonts w:asciiTheme="minorEastAsia" w:hAnsiTheme="minorEastAsia" w:eastAsiaTheme="minorEastAsia"/>
        </w:rPr>
      </w:pPr>
      <w:r>
        <w:fldChar w:fldCharType="begin"/>
      </w:r>
      <w:r>
        <w:instrText xml:space="preserve"> HYPERLINK \l "_Toc22703" </w:instrText>
      </w:r>
      <w:r>
        <w:fldChar w:fldCharType="separate"/>
      </w:r>
      <w:r>
        <w:rPr>
          <w:rFonts w:hint="eastAsia" w:asciiTheme="minorEastAsia" w:hAnsiTheme="minorEastAsia" w:eastAsiaTheme="minorEastAsia"/>
        </w:rPr>
        <w:t xml:space="preserve">5 </w:t>
      </w:r>
      <w:r>
        <w:rPr>
          <w:rFonts w:asciiTheme="minorEastAsia" w:hAnsiTheme="minorEastAsia" w:eastAsiaTheme="minorEastAsia"/>
        </w:rPr>
        <w:t xml:space="preserve"> </w:t>
      </w:r>
      <w:r>
        <w:rPr>
          <w:rFonts w:hint="eastAsia" w:asciiTheme="minorEastAsia" w:hAnsiTheme="minorEastAsia" w:eastAsiaTheme="minorEastAsia"/>
          <w:lang w:val="en-US" w:eastAsia="zh-CN"/>
        </w:rPr>
        <w:t>试剂和材料</w:t>
      </w:r>
      <w:r>
        <w:rPr>
          <w:rFonts w:asciiTheme="minorEastAsia" w:hAnsiTheme="minorEastAsia" w:eastAsiaTheme="minorEastAsia"/>
        </w:rPr>
        <w:tab/>
      </w:r>
      <w:r>
        <w:rPr>
          <w:rFonts w:hint="eastAsia" w:asciiTheme="minorEastAsia" w:hAnsiTheme="minorEastAsia" w:eastAsiaTheme="minorEastAsia"/>
          <w:lang w:val="en-US" w:eastAsia="zh-CN"/>
        </w:rPr>
        <w:t>3</w:t>
      </w:r>
      <w:r>
        <w:rPr>
          <w:rFonts w:asciiTheme="minorEastAsia" w:hAnsiTheme="minorEastAsia" w:eastAsiaTheme="minorEastAsia"/>
        </w:rPr>
        <w:fldChar w:fldCharType="end"/>
      </w:r>
    </w:p>
    <w:p w14:paraId="2B1C3B27">
      <w:pPr>
        <w:pStyle w:val="30"/>
        <w:tabs>
          <w:tab w:val="right" w:leader="dot" w:pos="9354"/>
          <w:tab w:val="clear" w:pos="9242"/>
        </w:tabs>
        <w:spacing w:line="400" w:lineRule="exact"/>
        <w:rPr>
          <w:rFonts w:asciiTheme="minorEastAsia" w:hAnsiTheme="minorEastAsia" w:eastAsiaTheme="minorEastAsia"/>
        </w:rPr>
      </w:pPr>
      <w:r>
        <w:fldChar w:fldCharType="begin"/>
      </w:r>
      <w:r>
        <w:instrText xml:space="preserve"> HYPERLINK \l "_Toc30680" </w:instrText>
      </w:r>
      <w:r>
        <w:fldChar w:fldCharType="separate"/>
      </w:r>
      <w:r>
        <w:rPr>
          <w:rFonts w:hint="eastAsia" w:asciiTheme="minorEastAsia" w:hAnsiTheme="minorEastAsia" w:eastAsiaTheme="minorEastAsia"/>
        </w:rPr>
        <w:t xml:space="preserve">6 </w:t>
      </w:r>
      <w:r>
        <w:rPr>
          <w:rFonts w:asciiTheme="minorEastAsia" w:hAnsiTheme="minorEastAsia" w:eastAsiaTheme="minorEastAsia"/>
        </w:rPr>
        <w:t xml:space="preserve"> </w:t>
      </w:r>
      <w:r>
        <w:rPr>
          <w:rFonts w:hint="eastAsia" w:asciiTheme="minorEastAsia" w:hAnsiTheme="minorEastAsia" w:eastAsiaTheme="minorEastAsia"/>
          <w:lang w:val="en-US" w:eastAsia="zh-CN"/>
        </w:rPr>
        <w:t>仪器设备</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_Toc30680 \h </w:instrText>
      </w:r>
      <w:r>
        <w:rPr>
          <w:rFonts w:asciiTheme="minorEastAsia" w:hAnsiTheme="minorEastAsia" w:eastAsiaTheme="minorEastAsia"/>
        </w:rPr>
        <w:fldChar w:fldCharType="separate"/>
      </w:r>
      <w:r>
        <w:rPr>
          <w:rFonts w:asciiTheme="minorEastAsia" w:hAnsiTheme="minorEastAsia" w:eastAsiaTheme="minorEastAsia"/>
        </w:rPr>
        <w:t>3</w:t>
      </w:r>
      <w:r>
        <w:rPr>
          <w:rFonts w:asciiTheme="minorEastAsia" w:hAnsiTheme="minorEastAsia" w:eastAsiaTheme="minorEastAsia"/>
        </w:rPr>
        <w:fldChar w:fldCharType="end"/>
      </w:r>
      <w:r>
        <w:rPr>
          <w:rFonts w:asciiTheme="minorEastAsia" w:hAnsiTheme="minorEastAsia" w:eastAsiaTheme="minorEastAsia"/>
        </w:rPr>
        <w:fldChar w:fldCharType="end"/>
      </w:r>
    </w:p>
    <w:p w14:paraId="3814FC34">
      <w:pPr>
        <w:pStyle w:val="30"/>
        <w:tabs>
          <w:tab w:val="right" w:leader="dot" w:pos="9354"/>
          <w:tab w:val="clear" w:pos="9242"/>
        </w:tabs>
        <w:spacing w:line="400" w:lineRule="exact"/>
        <w:rPr>
          <w:rFonts w:asciiTheme="minorEastAsia" w:hAnsiTheme="minorEastAsia" w:eastAsiaTheme="minorEastAsia"/>
        </w:rPr>
      </w:pPr>
      <w:r>
        <w:fldChar w:fldCharType="begin"/>
      </w:r>
      <w:r>
        <w:instrText xml:space="preserve"> HYPERLINK \l "_Toc6725" </w:instrText>
      </w:r>
      <w:r>
        <w:fldChar w:fldCharType="separate"/>
      </w:r>
      <w:r>
        <w:rPr>
          <w:rFonts w:hint="eastAsia" w:asciiTheme="minorEastAsia" w:hAnsiTheme="minorEastAsia" w:eastAsiaTheme="minorEastAsia"/>
        </w:rPr>
        <w:t xml:space="preserve">7 </w:t>
      </w:r>
      <w:r>
        <w:rPr>
          <w:rFonts w:asciiTheme="minorEastAsia" w:hAnsiTheme="minorEastAsia" w:eastAsiaTheme="minorEastAsia"/>
        </w:rPr>
        <w:t xml:space="preserve"> </w:t>
      </w:r>
      <w:r>
        <w:rPr>
          <w:rFonts w:hint="eastAsia" w:asciiTheme="minorEastAsia" w:hAnsiTheme="minorEastAsia" w:eastAsiaTheme="minorEastAsia"/>
          <w:lang w:val="en-US" w:eastAsia="zh-CN"/>
        </w:rPr>
        <w:t>筛选步骤</w:t>
      </w:r>
      <w:r>
        <w:rPr>
          <w:rFonts w:asciiTheme="minorEastAsia" w:hAnsiTheme="minorEastAsia" w:eastAsiaTheme="minorEastAsia"/>
        </w:rPr>
        <w:tab/>
      </w:r>
      <w:r>
        <w:rPr>
          <w:rFonts w:hint="eastAsia" w:asciiTheme="minorEastAsia" w:hAnsiTheme="minorEastAsia" w:eastAsiaTheme="minorEastAsia"/>
          <w:lang w:val="en-US" w:eastAsia="zh-CN"/>
        </w:rPr>
        <w:t>3</w:t>
      </w:r>
      <w:r>
        <w:rPr>
          <w:rFonts w:asciiTheme="minorEastAsia" w:hAnsiTheme="minorEastAsia" w:eastAsiaTheme="minorEastAsia"/>
        </w:rPr>
        <w:fldChar w:fldCharType="end"/>
      </w:r>
    </w:p>
    <w:p w14:paraId="660C9E11">
      <w:pPr>
        <w:pStyle w:val="30"/>
        <w:tabs>
          <w:tab w:val="right" w:leader="dot" w:pos="9354"/>
          <w:tab w:val="clear" w:pos="9242"/>
        </w:tabs>
        <w:spacing w:line="400" w:lineRule="exact"/>
        <w:rPr>
          <w:rFonts w:asciiTheme="minorEastAsia" w:hAnsiTheme="minorEastAsia" w:eastAsiaTheme="minorEastAsia"/>
        </w:rPr>
      </w:pPr>
      <w:r>
        <w:fldChar w:fldCharType="begin"/>
      </w:r>
      <w:r>
        <w:instrText xml:space="preserve"> HYPERLINK \l "_Toc15287" </w:instrText>
      </w:r>
      <w:r>
        <w:fldChar w:fldCharType="separate"/>
      </w:r>
      <w:r>
        <w:rPr>
          <w:rFonts w:hint="eastAsia" w:asciiTheme="minorEastAsia" w:hAnsiTheme="minorEastAsia" w:eastAsiaTheme="minorEastAsia"/>
        </w:rPr>
        <w:t xml:space="preserve">8 </w:t>
      </w:r>
      <w:r>
        <w:rPr>
          <w:rFonts w:asciiTheme="minorEastAsia" w:hAnsiTheme="minorEastAsia" w:eastAsiaTheme="minorEastAsia"/>
        </w:rPr>
        <w:t xml:space="preserve"> </w:t>
      </w:r>
      <w:r>
        <w:rPr>
          <w:rFonts w:hint="eastAsia" w:asciiTheme="minorEastAsia" w:hAnsiTheme="minorEastAsia" w:eastAsiaTheme="minorEastAsia"/>
          <w:lang w:val="en-US" w:eastAsia="zh-CN"/>
        </w:rPr>
        <w:t>qPCR</w:t>
      </w:r>
      <w:r>
        <w:rPr>
          <w:rFonts w:asciiTheme="minorEastAsia" w:hAnsiTheme="minorEastAsia" w:eastAsiaTheme="minorEastAsia"/>
        </w:rPr>
        <w:tab/>
      </w:r>
      <w:r>
        <w:rPr>
          <w:rFonts w:hint="eastAsia" w:asciiTheme="minorEastAsia" w:hAnsiTheme="minorEastAsia" w:eastAsiaTheme="minorEastAsia"/>
          <w:lang w:val="en-US" w:eastAsia="zh-CN"/>
        </w:rPr>
        <w:t>4</w:t>
      </w:r>
      <w:r>
        <w:rPr>
          <w:rFonts w:asciiTheme="minorEastAsia" w:hAnsiTheme="minorEastAsia" w:eastAsiaTheme="minorEastAsia"/>
        </w:rPr>
        <w:fldChar w:fldCharType="end"/>
      </w:r>
    </w:p>
    <w:p w14:paraId="161915F7">
      <w:pPr>
        <w:tabs>
          <w:tab w:val="right" w:leader="dot" w:pos="9344"/>
        </w:tabs>
        <w:adjustRightInd w:val="0"/>
        <w:spacing w:line="400" w:lineRule="exact"/>
        <w:ind w:firstLine="0" w:firstLineChars="0"/>
        <w:rPr>
          <w:rFonts w:hAnsi="宋体"/>
        </w:rPr>
      </w:pPr>
      <w:r>
        <w:rPr>
          <w:rFonts w:hint="eastAsia" w:cs="宋体" w:asciiTheme="minorEastAsia" w:hAnsiTheme="minorEastAsia" w:eastAsiaTheme="minorEastAsia"/>
        </w:rPr>
        <w:fldChar w:fldCharType="end"/>
      </w:r>
    </w:p>
    <w:p w14:paraId="72AF4F25">
      <w:pPr>
        <w:pStyle w:val="117"/>
      </w:pPr>
      <w:bookmarkStart w:id="10" w:name="_Toc31588"/>
      <w:bookmarkStart w:id="11" w:name="BKQY"/>
      <w:bookmarkStart w:id="12" w:name="_Toc34814875"/>
      <w:r>
        <w:rPr>
          <w:rFonts w:hint="eastAsia"/>
        </w:rPr>
        <w:t>前</w:t>
      </w:r>
      <w:r>
        <w:rPr>
          <w:rFonts w:hAnsi="黑体"/>
        </w:rPr>
        <w:t>  </w:t>
      </w:r>
      <w:r>
        <w:rPr>
          <w:rFonts w:hint="eastAsia"/>
        </w:rPr>
        <w:t>言</w:t>
      </w:r>
      <w:bookmarkEnd w:id="10"/>
      <w:bookmarkEnd w:id="11"/>
      <w:bookmarkEnd w:id="12"/>
    </w:p>
    <w:p w14:paraId="4D82FF9E">
      <w:pPr>
        <w:pStyle w:val="25"/>
      </w:pPr>
      <w:r>
        <w:rPr>
          <w:rFonts w:hint="eastAsia"/>
        </w:rPr>
        <w:t>本文件按照GB/T 1.1-2020《标准化工作导则 第1部分：标准化文件的结构和起草规则》的规则起草。</w:t>
      </w:r>
    </w:p>
    <w:p w14:paraId="7F8CF9F3">
      <w:pPr>
        <w:pStyle w:val="25"/>
      </w:pPr>
      <w:r>
        <w:rPr>
          <w:rFonts w:hint="eastAsia"/>
        </w:rPr>
        <w:t>本文件由</w:t>
      </w:r>
      <w:r>
        <w:rPr>
          <w:rFonts w:hint="eastAsia"/>
          <w:szCs w:val="22"/>
          <w:lang w:eastAsia="zh-CN"/>
        </w:rPr>
        <w:t>深圳市生命科学与生物技术协会</w:t>
      </w:r>
      <w:r>
        <w:rPr>
          <w:rFonts w:hint="eastAsia"/>
        </w:rPr>
        <w:t>提出并归口。</w:t>
      </w:r>
    </w:p>
    <w:p w14:paraId="06E1AD0A">
      <w:pPr>
        <w:pStyle w:val="25"/>
        <w:rPr>
          <w:rFonts w:hint="eastAsia"/>
        </w:rPr>
      </w:pPr>
      <w:r>
        <w:rPr>
          <w:rFonts w:hint="eastAsia"/>
        </w:rPr>
        <w:t>本文件起草单位：</w:t>
      </w:r>
    </w:p>
    <w:p w14:paraId="03635E61">
      <w:pPr>
        <w:pStyle w:val="25"/>
      </w:pPr>
      <w:r>
        <w:rPr>
          <w:rFonts w:hint="eastAsia"/>
        </w:rPr>
        <w:t>本文件主要起草人：</w:t>
      </w:r>
    </w:p>
    <w:p w14:paraId="355BEC7C">
      <w:pPr>
        <w:ind w:firstLine="420" w:firstLineChars="200"/>
        <w:rPr>
          <w:color w:val="000000" w:themeColor="text1"/>
          <w14:textFill>
            <w14:solidFill>
              <w14:schemeClr w14:val="tx1"/>
            </w14:solidFill>
          </w14:textFill>
        </w:rPr>
      </w:pPr>
      <w:r>
        <w:rPr>
          <w:color w:val="000000" w:themeColor="text1"/>
          <w:kern w:val="0"/>
          <w14:textFill>
            <w14:solidFill>
              <w14:schemeClr w14:val="tx1"/>
            </w14:solidFill>
          </w14:textFill>
        </w:rPr>
        <w:t>本</w:t>
      </w:r>
      <w:r>
        <w:rPr>
          <w:rFonts w:hint="eastAsia"/>
          <w:color w:val="000000" w:themeColor="text1"/>
          <w:kern w:val="0"/>
          <w14:textFill>
            <w14:solidFill>
              <w14:schemeClr w14:val="tx1"/>
            </w14:solidFill>
          </w14:textFill>
        </w:rPr>
        <w:t>文件</w:t>
      </w:r>
      <w:r>
        <w:rPr>
          <w:color w:val="000000" w:themeColor="text1"/>
          <w:kern w:val="0"/>
          <w14:textFill>
            <w14:solidFill>
              <w14:schemeClr w14:val="tx1"/>
            </w14:solidFill>
          </w14:textFill>
        </w:rPr>
        <w:t>为首次发布。</w:t>
      </w:r>
    </w:p>
    <w:p w14:paraId="7C9C00BE">
      <w:pPr>
        <w:pStyle w:val="25"/>
        <w:sectPr>
          <w:headerReference r:id="rId5" w:type="default"/>
          <w:footerReference r:id="rId6" w:type="default"/>
          <w:pgSz w:w="11906" w:h="16838"/>
          <w:pgMar w:top="567" w:right="1134" w:bottom="1134" w:left="1418" w:header="1418" w:footer="1134" w:gutter="0"/>
          <w:pgNumType w:fmt="upperRoman" w:start="1"/>
          <w:cols w:space="425" w:num="1"/>
          <w:formProt w:val="0"/>
          <w:docGrid w:type="lines" w:linePitch="312" w:charSpace="0"/>
        </w:sectPr>
      </w:pPr>
    </w:p>
    <w:p w14:paraId="39EBE1E0">
      <w:pPr>
        <w:pStyle w:val="55"/>
        <w:rPr>
          <w:rFonts w:hAnsi="黑体" w:cs="黑体"/>
          <w:b/>
          <w:color w:val="000000"/>
          <w:sz w:val="28"/>
        </w:rPr>
      </w:pPr>
      <w:bookmarkStart w:id="13" w:name="_Toc43215113"/>
      <w:bookmarkStart w:id="14" w:name="_Toc15022400"/>
      <w:bookmarkStart w:id="15" w:name="_Toc34814030"/>
      <w:bookmarkStart w:id="16" w:name="_Toc15022903"/>
      <w:bookmarkStart w:id="17" w:name="_Toc45117180"/>
      <w:bookmarkStart w:id="18" w:name="_Toc15029748"/>
      <w:bookmarkStart w:id="19" w:name="_Toc16518"/>
      <w:bookmarkStart w:id="20" w:name="_Toc34834498"/>
      <w:bookmarkStart w:id="21" w:name="_Toc34814876"/>
      <w:sdt>
        <w:sdtPr>
          <w:rPr>
            <w:rFonts w:hint="eastAsia" w:hAnsi="黑体" w:cstheme="minorBidi"/>
            <w:szCs w:val="32"/>
          </w:rPr>
          <w:alias w:val="标准名称"/>
          <w:tag w:val="标准名称"/>
          <w:id w:val="-1285648840"/>
          <w:lock w:val="sdtLocked"/>
          <w:placeholder>
            <w:docPart w:val="111"/>
          </w:placeholder>
          <w:text w:multiLine="1"/>
        </w:sdtPr>
        <w:sdtEndPr>
          <w:rPr>
            <w:rFonts w:hint="eastAsia" w:hAnsi="黑体" w:cstheme="minorBidi"/>
            <w:szCs w:val="32"/>
          </w:rPr>
        </w:sdtEndPr>
        <w:sdtContent>
          <w:r>
            <w:rPr>
              <w:rFonts w:hint="eastAsia"/>
            </w:rPr>
            <w:t>On-DNA的酰胺缩合反应标准</w:t>
          </w:r>
        </w:sdtContent>
      </w:sdt>
      <w:bookmarkEnd w:id="13"/>
      <w:bookmarkEnd w:id="14"/>
      <w:bookmarkEnd w:id="15"/>
      <w:bookmarkEnd w:id="16"/>
      <w:bookmarkEnd w:id="17"/>
      <w:bookmarkEnd w:id="18"/>
      <w:bookmarkEnd w:id="19"/>
      <w:bookmarkEnd w:id="20"/>
      <w:bookmarkEnd w:id="21"/>
      <w:bookmarkStart w:id="22" w:name="StandardName"/>
      <w:bookmarkEnd w:id="22"/>
    </w:p>
    <w:p w14:paraId="6A53381D">
      <w:pPr>
        <w:pStyle w:val="50"/>
        <w:numPr>
          <w:ilvl w:val="0"/>
          <w:numId w:val="18"/>
        </w:numPr>
        <w:spacing w:before="312" w:after="312"/>
      </w:pPr>
      <w:bookmarkStart w:id="23" w:name="_Toc12015"/>
      <w:bookmarkStart w:id="24" w:name="_Toc19828080"/>
      <w:bookmarkStart w:id="25" w:name="_Toc19828165"/>
      <w:bookmarkStart w:id="26" w:name="_Toc19828131"/>
      <w:bookmarkStart w:id="27" w:name="_Toc19826643"/>
      <w:bookmarkStart w:id="28" w:name="_Toc25571"/>
      <w:bookmarkStart w:id="29" w:name="_Toc19875975"/>
      <w:bookmarkStart w:id="30" w:name="_Toc13994"/>
      <w:bookmarkStart w:id="31" w:name="_Toc21516967"/>
      <w:r>
        <w:t>范围</w:t>
      </w:r>
      <w:bookmarkEnd w:id="23"/>
      <w:bookmarkEnd w:id="24"/>
      <w:bookmarkEnd w:id="25"/>
      <w:bookmarkEnd w:id="26"/>
      <w:bookmarkEnd w:id="27"/>
      <w:bookmarkEnd w:id="28"/>
      <w:bookmarkEnd w:id="29"/>
      <w:bookmarkEnd w:id="30"/>
      <w:bookmarkEnd w:id="31"/>
    </w:p>
    <w:p w14:paraId="16BD43D1">
      <w:pPr>
        <w:pStyle w:val="25"/>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本文件规定了On-DNA酰胺缩合反应的的定义、反应底物的一般要求，反应产物的定性和定量检测方法、反应转化率的检测方法、样品的保存和报告。</w:t>
      </w:r>
    </w:p>
    <w:p w14:paraId="4CFD6459">
      <w:pPr>
        <w:pStyle w:val="25"/>
      </w:pPr>
      <w:r>
        <w:rPr>
          <w:rFonts w:hint="eastAsia"/>
        </w:rPr>
        <w:t>本文件适用于在DNA编码化合物库构建中On-DNA的酰胺缩合反应。</w:t>
      </w:r>
    </w:p>
    <w:p w14:paraId="56145BE7">
      <w:pPr>
        <w:pStyle w:val="50"/>
        <w:numPr>
          <w:ilvl w:val="0"/>
          <w:numId w:val="18"/>
        </w:numPr>
        <w:spacing w:before="312" w:after="312"/>
      </w:pPr>
      <w:bookmarkStart w:id="32" w:name="_Toc22543"/>
      <w:bookmarkStart w:id="33" w:name="_Toc19875976"/>
      <w:bookmarkStart w:id="34" w:name="_Toc19828166"/>
      <w:bookmarkStart w:id="35" w:name="_Toc489260118"/>
      <w:bookmarkStart w:id="36" w:name="_Toc19826646"/>
      <w:bookmarkStart w:id="37" w:name="_Toc489260168"/>
      <w:bookmarkStart w:id="38" w:name="_Toc21516968"/>
      <w:bookmarkStart w:id="39" w:name="_Toc11827"/>
      <w:bookmarkStart w:id="40" w:name="_Toc19828083"/>
      <w:bookmarkStart w:id="41" w:name="_Toc19828134"/>
      <w:r>
        <w:t>规范性引用文件</w:t>
      </w:r>
      <w:bookmarkEnd w:id="32"/>
      <w:bookmarkEnd w:id="33"/>
      <w:bookmarkEnd w:id="34"/>
      <w:bookmarkEnd w:id="35"/>
      <w:bookmarkEnd w:id="36"/>
      <w:bookmarkEnd w:id="37"/>
      <w:bookmarkEnd w:id="38"/>
      <w:bookmarkEnd w:id="39"/>
      <w:bookmarkEnd w:id="40"/>
      <w:bookmarkEnd w:id="41"/>
    </w:p>
    <w:p w14:paraId="4752E96C">
      <w:pPr>
        <w:pStyle w:val="25"/>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Start w:id="42" w:name="_Toc19875977"/>
    </w:p>
    <w:p w14:paraId="41A69A4A">
      <w:pPr>
        <w:pStyle w:val="25"/>
        <w:rPr>
          <w:rFonts w:hint="eastAsia"/>
        </w:rPr>
      </w:pPr>
      <w:bookmarkStart w:id="43" w:name="_Toc21516969"/>
      <w:bookmarkStart w:id="44" w:name="_Toc16406"/>
      <w:r>
        <w:rPr>
          <w:rFonts w:hint="eastAsia"/>
        </w:rPr>
        <w:t xml:space="preserve">GB/T 6682 </w:t>
      </w:r>
      <w:r>
        <w:rPr>
          <w:rFonts w:hint="eastAsia"/>
          <w:lang w:val="en-US" w:eastAsia="zh-CN"/>
        </w:rPr>
        <w:t xml:space="preserve"> </w:t>
      </w:r>
      <w:r>
        <w:rPr>
          <w:rFonts w:hint="eastAsia"/>
        </w:rPr>
        <w:t>分析实验室用水规格和试验方法</w:t>
      </w:r>
    </w:p>
    <w:p w14:paraId="0EEF0BF4">
      <w:pPr>
        <w:pStyle w:val="25"/>
        <w:rPr>
          <w:rFonts w:hint="eastAsia"/>
        </w:rPr>
      </w:pPr>
      <w:r>
        <w:rPr>
          <w:rFonts w:hint="eastAsia"/>
        </w:rPr>
        <w:t>GB/T 39512</w:t>
      </w:r>
      <w:r>
        <w:rPr>
          <w:rFonts w:hint="eastAsia"/>
          <w:lang w:val="en-US" w:eastAsia="zh-CN"/>
        </w:rPr>
        <w:t xml:space="preserve"> </w:t>
      </w:r>
      <w:r>
        <w:rPr>
          <w:rFonts w:hint="eastAsia"/>
        </w:rPr>
        <w:t xml:space="preserve"> 磷酸化标记核酸检测通则</w:t>
      </w:r>
    </w:p>
    <w:p w14:paraId="08039246">
      <w:pPr>
        <w:pStyle w:val="25"/>
        <w:rPr>
          <w:rFonts w:hint="eastAsia"/>
        </w:rPr>
      </w:pPr>
      <w:r>
        <w:rPr>
          <w:rFonts w:hint="eastAsia"/>
        </w:rPr>
        <w:t>GB/T</w:t>
      </w:r>
      <w:r>
        <w:rPr>
          <w:rFonts w:hint="eastAsia"/>
          <w:lang w:val="en-US" w:eastAsia="zh-CN"/>
        </w:rPr>
        <w:t xml:space="preserve"> </w:t>
      </w:r>
      <w:r>
        <w:rPr>
          <w:rFonts w:hint="eastAsia"/>
        </w:rPr>
        <w:t xml:space="preserve">30988 </w:t>
      </w:r>
      <w:r>
        <w:rPr>
          <w:rFonts w:hint="eastAsia"/>
          <w:lang w:val="en-US" w:eastAsia="zh-CN"/>
        </w:rPr>
        <w:t xml:space="preserve"> </w:t>
      </w:r>
      <w:r>
        <w:rPr>
          <w:rFonts w:hint="eastAsia"/>
        </w:rPr>
        <w:t>多酚类植物基因组DNA提取纯化及测试方法</w:t>
      </w:r>
    </w:p>
    <w:p w14:paraId="078A5F7D">
      <w:pPr>
        <w:pStyle w:val="50"/>
        <w:numPr>
          <w:ilvl w:val="0"/>
          <w:numId w:val="18"/>
        </w:numPr>
        <w:spacing w:before="312" w:after="312"/>
      </w:pPr>
      <w:bookmarkStart w:id="45" w:name="_Toc1306"/>
      <w:r>
        <w:rPr>
          <w:rFonts w:hint="eastAsia"/>
        </w:rPr>
        <w:t>术语</w:t>
      </w:r>
      <w:r>
        <w:t>和定义</w:t>
      </w:r>
      <w:bookmarkEnd w:id="42"/>
      <w:bookmarkEnd w:id="43"/>
      <w:bookmarkEnd w:id="44"/>
      <w:bookmarkStart w:id="46" w:name="_Toc6161"/>
      <w:r>
        <w:rPr>
          <w:rFonts w:hint="eastAsia"/>
          <w:lang w:eastAsia="zh-CN"/>
        </w:rPr>
        <w:t>、</w:t>
      </w:r>
      <w:r>
        <w:rPr>
          <w:rFonts w:hint="eastAsia"/>
          <w:lang w:val="en-US" w:eastAsia="zh-CN"/>
        </w:rPr>
        <w:t>缩略语</w:t>
      </w:r>
      <w:bookmarkEnd w:id="45"/>
      <w:bookmarkEnd w:id="46"/>
    </w:p>
    <w:p w14:paraId="6A4DB073">
      <w:pPr>
        <w:numPr>
          <w:ilvl w:val="1"/>
          <w:numId w:val="18"/>
        </w:numPr>
        <w:spacing w:before="156" w:beforeLines="50" w:after="156" w:afterLines="50"/>
        <w:ind w:left="0"/>
        <w:outlineLvl w:val="2"/>
        <w:rPr>
          <w:rFonts w:ascii="黑体" w:eastAsia="黑体"/>
          <w:szCs w:val="21"/>
          <w:highlight w:val="none"/>
        </w:rPr>
      </w:pPr>
      <w:bookmarkStart w:id="47" w:name="_Toc77414687"/>
      <w:bookmarkEnd w:id="47"/>
      <w:bookmarkStart w:id="48" w:name="_Toc77414852"/>
      <w:bookmarkEnd w:id="48"/>
      <w:r>
        <w:rPr>
          <w:rFonts w:hint="eastAsia" w:ascii="黑体" w:eastAsia="黑体"/>
          <w:szCs w:val="21"/>
          <w:highlight w:val="none"/>
          <w:lang w:val="en-US" w:eastAsia="zh-CN"/>
        </w:rPr>
        <w:t>术语和定义</w:t>
      </w:r>
    </w:p>
    <w:p w14:paraId="42495998">
      <w:pPr>
        <w:pStyle w:val="25"/>
        <w:keepNext w:val="0"/>
        <w:keepLines w:val="0"/>
        <w:pageBreakBefore w:val="0"/>
        <w:widowControl/>
        <w:kinsoku/>
        <w:wordWrap/>
        <w:overflowPunct/>
        <w:topLinePunct w:val="0"/>
        <w:autoSpaceDE w:val="0"/>
        <w:autoSpaceDN w:val="0"/>
        <w:bidi w:val="0"/>
        <w:adjustRightInd/>
        <w:snapToGrid/>
        <w:textAlignment w:val="auto"/>
        <w:rPr>
          <w:highlight w:val="none"/>
        </w:rPr>
      </w:pPr>
      <w:r>
        <w:rPr>
          <w:rFonts w:hint="eastAsia"/>
          <w:highlight w:val="none"/>
          <w:lang w:val="en-US" w:eastAsia="zh-CN"/>
        </w:rPr>
        <w:t>下列术语和定义适用于本文件</w:t>
      </w:r>
      <w:r>
        <w:rPr>
          <w:rFonts w:hint="eastAsia"/>
          <w:highlight w:val="none"/>
        </w:rPr>
        <w:t>。</w:t>
      </w:r>
    </w:p>
    <w:p w14:paraId="026B3A04">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hint="eastAsia" w:ascii="黑体" w:eastAsia="黑体"/>
          <w:szCs w:val="21"/>
          <w:highlight w:val="none"/>
        </w:rPr>
      </w:pPr>
    </w:p>
    <w:p w14:paraId="51737022">
      <w:pPr>
        <w:spacing w:before="156" w:beforeLines="50" w:after="156" w:afterLines="50"/>
        <w:ind w:firstLine="420" w:firstLineChars="200"/>
        <w:outlineLvl w:val="2"/>
        <w:rPr>
          <w:rFonts w:hint="default" w:ascii="黑体" w:eastAsia="黑体"/>
          <w:szCs w:val="21"/>
          <w:highlight w:val="none"/>
          <w:lang w:val="en-US" w:eastAsia="zh-CN"/>
        </w:rPr>
      </w:pPr>
      <w:r>
        <w:rPr>
          <w:rFonts w:hint="eastAsia" w:ascii="黑体" w:eastAsia="黑体"/>
          <w:szCs w:val="21"/>
          <w:highlight w:val="none"/>
        </w:rPr>
        <w:t>脱氧核糖核酸</w:t>
      </w:r>
      <w:r>
        <w:rPr>
          <w:rFonts w:ascii="黑体" w:eastAsia="黑体"/>
          <w:szCs w:val="21"/>
          <w:highlight w:val="none"/>
        </w:rPr>
        <w:t xml:space="preserve">  </w:t>
      </w:r>
      <w:r>
        <w:rPr>
          <w:rFonts w:hint="eastAsia" w:ascii="黑体" w:hAnsi="黑体" w:eastAsia="黑体"/>
          <w:highlight w:val="none"/>
        </w:rPr>
        <w:t>D</w:t>
      </w:r>
      <w:r>
        <w:rPr>
          <w:rFonts w:hint="eastAsia" w:ascii="黑体" w:hAnsi="黑体" w:eastAsia="黑体"/>
          <w:highlight w:val="none"/>
          <w:lang w:val="en-US" w:eastAsia="zh-CN"/>
        </w:rPr>
        <w:t>NA</w:t>
      </w:r>
    </w:p>
    <w:p w14:paraId="0535EFBE">
      <w:pPr>
        <w:pStyle w:val="25"/>
        <w:rPr>
          <w:highlight w:val="none"/>
        </w:rPr>
      </w:pPr>
      <w:r>
        <w:rPr>
          <w:rFonts w:hint="eastAsia"/>
          <w:highlight w:val="none"/>
        </w:rPr>
        <w:t>是由脱氧核苷酸按一定碱基顺序彼此用3'，5'-磷酸二酯键相连构成的长链。</w:t>
      </w:r>
    </w:p>
    <w:p w14:paraId="5011134E">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ascii="黑体" w:eastAsia="黑体"/>
          <w:szCs w:val="21"/>
          <w:highlight w:val="none"/>
        </w:rPr>
      </w:pPr>
      <w:bookmarkStart w:id="49" w:name="_Toc77414854"/>
      <w:bookmarkEnd w:id="49"/>
      <w:bookmarkStart w:id="50" w:name="_Toc77414689"/>
      <w:bookmarkEnd w:id="50"/>
    </w:p>
    <w:p w14:paraId="06DBDFFB">
      <w:pPr>
        <w:spacing w:before="156" w:beforeLines="50" w:after="156" w:afterLines="50"/>
        <w:ind w:firstLine="420" w:firstLineChars="200"/>
        <w:outlineLvl w:val="2"/>
        <w:rPr>
          <w:rFonts w:ascii="黑体" w:hAnsi="黑体" w:eastAsia="黑体"/>
          <w:szCs w:val="21"/>
          <w:highlight w:val="none"/>
        </w:rPr>
      </w:pPr>
      <w:r>
        <w:rPr>
          <w:rFonts w:hint="eastAsia" w:ascii="黑体" w:hAnsi="黑体" w:eastAsia="黑体"/>
          <w:highlight w:val="none"/>
          <w:lang w:val="en-US" w:eastAsia="zh-CN"/>
        </w:rPr>
        <w:t>氨</w:t>
      </w:r>
      <w:r>
        <w:rPr>
          <w:rFonts w:hint="eastAsia" w:ascii="黑体" w:hAnsi="黑体" w:eastAsia="黑体"/>
          <w:highlight w:val="none"/>
        </w:rPr>
        <w:t>基修饰的DNA</w:t>
      </w:r>
      <w:r>
        <w:rPr>
          <w:rFonts w:ascii="黑体" w:hAnsi="黑体" w:eastAsia="黑体"/>
          <w:highlight w:val="none"/>
        </w:rPr>
        <w:t xml:space="preserve"> </w:t>
      </w:r>
      <w:bookmarkStart w:id="51" w:name="OLE_LINK1"/>
      <w:bookmarkStart w:id="52" w:name="OLE_LINK2"/>
      <w:r>
        <w:rPr>
          <w:rFonts w:ascii="黑体" w:hAnsi="黑体" w:eastAsia="黑体"/>
          <w:highlight w:val="none"/>
        </w:rPr>
        <w:t xml:space="preserve"> </w:t>
      </w:r>
      <w:bookmarkEnd w:id="51"/>
      <w:bookmarkEnd w:id="52"/>
      <w:r>
        <w:rPr>
          <w:rFonts w:hint="eastAsia" w:ascii="黑体" w:hAnsi="黑体" w:eastAsia="黑体"/>
          <w:highlight w:val="none"/>
          <w:lang w:val="en-US" w:eastAsia="zh-CN"/>
        </w:rPr>
        <w:t>a</w:t>
      </w:r>
      <w:r>
        <w:rPr>
          <w:rFonts w:hint="eastAsia" w:ascii="黑体" w:hAnsi="黑体" w:eastAsia="黑体"/>
          <w:highlight w:val="none"/>
        </w:rPr>
        <w:t>mino modified DNA</w:t>
      </w:r>
    </w:p>
    <w:p w14:paraId="4E470D43">
      <w:pPr>
        <w:pStyle w:val="25"/>
        <w:rPr>
          <w:rFonts w:hint="eastAsia"/>
          <w:highlight w:val="none"/>
        </w:rPr>
      </w:pPr>
      <w:r>
        <w:rPr>
          <w:rFonts w:hint="eastAsia"/>
        </w:rPr>
        <w:t>在DNA长链的某一位置以化学键的形式连接上氨基官能团，作为化学反应位点。如：</w:t>
      </w:r>
      <w:r>
        <w:rPr>
          <w:rFonts w:hint="eastAsia" w:ascii="Times New Roman" w:hAnsi="Times New Roman" w:cs="Times New Roman"/>
          <w:b/>
          <w:bCs/>
        </w:rPr>
        <w:object>
          <v:shape id="_x0000_i1025" o:spt="75" type="#_x0000_t75" style="height:16.5pt;width:63.8pt;" o:ole="t" filled="f" o:preferrelative="t" stroked="f" coordsize="21600,21600">
            <v:path/>
            <v:fill on="f" focussize="0,0"/>
            <v:stroke on="f" joinstyle="miter"/>
            <v:imagedata r:id="rId9" o:title=""/>
            <o:lock v:ext="edit" aspectratio="f"/>
            <w10:wrap type="none"/>
            <w10:anchorlock/>
          </v:shape>
          <o:OLEObject Type="Embed" ProgID="ChemDraw.Document.6.0" ShapeID="_x0000_i1025" DrawAspect="Content" ObjectID="_1468075725" r:id="rId8">
            <o:LockedField>false</o:LockedField>
          </o:OLEObject>
        </w:object>
      </w:r>
      <w:r>
        <w:rPr>
          <w:rFonts w:hint="eastAsia"/>
        </w:rPr>
        <w:t xml:space="preserve"> </w:t>
      </w:r>
      <w:r>
        <w:rPr>
          <w:rFonts w:ascii="Times New Roman" w:hAnsi="Times New Roman" w:cs="Times New Roman"/>
          <w:b/>
          <w:bCs/>
        </w:rPr>
        <w:object>
          <v:shape id="_x0000_i1026" o:spt="75" type="#_x0000_t75" style="height:17.25pt;width:71.3pt;" o:ole="t" filled="f" o:preferrelative="t" stroked="f" coordsize="21600,21600">
            <v:path/>
            <v:fill on="f" focussize="0,0"/>
            <v:stroke on="f" joinstyle="miter"/>
            <v:imagedata r:id="rId11" o:title=""/>
            <o:lock v:ext="edit" aspectratio="f"/>
            <w10:wrap type="none"/>
            <w10:anchorlock/>
          </v:shape>
          <o:OLEObject Type="Embed" ProgID="ChemDraw.Document.6.0" ShapeID="_x0000_i1026" DrawAspect="Content" ObjectID="_1468075726" r:id="rId10">
            <o:LockedField>false</o:LockedField>
          </o:OLEObject>
        </w:object>
      </w:r>
      <w:r>
        <w:rPr>
          <w:rFonts w:hint="eastAsia"/>
        </w:rPr>
        <w:t>等</w:t>
      </w:r>
      <w:r>
        <w:rPr>
          <w:rFonts w:hint="eastAsia"/>
          <w:highlight w:val="none"/>
        </w:rPr>
        <w:t>。</w:t>
      </w:r>
    </w:p>
    <w:p w14:paraId="4CDE3DE4">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ascii="黑体" w:eastAsia="黑体"/>
          <w:szCs w:val="21"/>
          <w:highlight w:val="none"/>
        </w:rPr>
      </w:pPr>
    </w:p>
    <w:p w14:paraId="267215C2">
      <w:pPr>
        <w:spacing w:before="156" w:beforeLines="50" w:after="156" w:afterLines="50"/>
        <w:ind w:firstLine="420" w:firstLineChars="200"/>
        <w:outlineLvl w:val="2"/>
        <w:rPr>
          <w:rFonts w:ascii="黑体" w:hAnsi="黑体" w:eastAsia="黑体"/>
          <w:szCs w:val="21"/>
          <w:highlight w:val="none"/>
        </w:rPr>
      </w:pPr>
      <w:r>
        <w:rPr>
          <w:rFonts w:hint="eastAsia" w:ascii="黑体" w:hAnsi="黑体" w:eastAsia="黑体"/>
          <w:highlight w:val="none"/>
        </w:rPr>
        <w:t>羧基修饰的DNA</w:t>
      </w:r>
      <w:r>
        <w:rPr>
          <w:rFonts w:ascii="黑体" w:hAnsi="黑体" w:eastAsia="黑体"/>
          <w:highlight w:val="none"/>
        </w:rPr>
        <w:t xml:space="preserve">  </w:t>
      </w:r>
      <w:r>
        <w:rPr>
          <w:rFonts w:hint="eastAsia" w:ascii="黑体" w:hAnsi="黑体" w:eastAsia="黑体"/>
          <w:highlight w:val="none"/>
          <w:lang w:val="en-US" w:eastAsia="zh-CN"/>
        </w:rPr>
        <w:t>c</w:t>
      </w:r>
      <w:r>
        <w:rPr>
          <w:rFonts w:hint="eastAsia" w:ascii="黑体" w:hAnsi="黑体" w:eastAsia="黑体"/>
          <w:highlight w:val="none"/>
        </w:rPr>
        <w:t>arboxyl modified DNA</w:t>
      </w:r>
    </w:p>
    <w:p w14:paraId="483B1F6B">
      <w:pPr>
        <w:pStyle w:val="25"/>
        <w:rPr>
          <w:rFonts w:hint="eastAsia"/>
          <w:highlight w:val="none"/>
        </w:rPr>
      </w:pPr>
      <w:r>
        <w:rPr>
          <w:rFonts w:hint="eastAsia"/>
        </w:rPr>
        <w:t>在DNA长链的某一位置以化学键的形式连接上羧基官能团，作为化学反应位点。</w:t>
      </w:r>
    </w:p>
    <w:p w14:paraId="126E901D">
      <w:pPr>
        <w:pStyle w:val="25"/>
        <w:rPr>
          <w:rFonts w:hint="eastAsia"/>
          <w:highlight w:val="none"/>
        </w:rPr>
      </w:pPr>
    </w:p>
    <w:p w14:paraId="793C60CE">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ascii="黑体" w:eastAsia="黑体"/>
          <w:szCs w:val="21"/>
          <w:highlight w:val="none"/>
        </w:rPr>
      </w:pPr>
      <w:bookmarkStart w:id="53" w:name="_Toc77414856"/>
      <w:bookmarkEnd w:id="53"/>
      <w:bookmarkStart w:id="54" w:name="_Toc77414691"/>
      <w:bookmarkEnd w:id="54"/>
    </w:p>
    <w:p w14:paraId="4C39F22B">
      <w:pPr>
        <w:spacing w:before="156" w:beforeLines="50" w:after="156" w:afterLines="50"/>
        <w:ind w:firstLine="420" w:firstLineChars="200"/>
        <w:outlineLvl w:val="2"/>
        <w:rPr>
          <w:rFonts w:ascii="黑体" w:hAnsi="黑体" w:eastAsia="黑体"/>
          <w:szCs w:val="21"/>
          <w:highlight w:val="none"/>
        </w:rPr>
      </w:pPr>
      <w:r>
        <w:rPr>
          <w:rFonts w:hint="eastAsia" w:ascii="黑体" w:hAnsi="黑体" w:eastAsia="黑体"/>
          <w:highlight w:val="none"/>
        </w:rPr>
        <w:t>缩合反应</w:t>
      </w:r>
      <w:r>
        <w:rPr>
          <w:rFonts w:ascii="黑体" w:hAnsi="黑体" w:eastAsia="黑体"/>
          <w:szCs w:val="21"/>
          <w:highlight w:val="none"/>
        </w:rPr>
        <w:t xml:space="preserve">  </w:t>
      </w:r>
      <w:r>
        <w:rPr>
          <w:rFonts w:hint="eastAsia" w:ascii="黑体" w:hAnsi="黑体" w:eastAsia="黑体"/>
          <w:szCs w:val="21"/>
          <w:highlight w:val="none"/>
        </w:rPr>
        <w:t>condensation reaction</w:t>
      </w:r>
    </w:p>
    <w:p w14:paraId="53AD527B">
      <w:pPr>
        <w:pStyle w:val="25"/>
        <w:rPr>
          <w:highlight w:val="none"/>
        </w:rPr>
      </w:pPr>
      <w:r>
        <w:rPr>
          <w:rFonts w:hint="eastAsia"/>
          <w:highlight w:val="none"/>
        </w:rPr>
        <w:t>缩合反应指两个或两个以上有机分子相互作用后以共价键结合成一个大分子，并常伴有失去小分子（如水、氯化氢、醇等）的反应。</w:t>
      </w:r>
    </w:p>
    <w:p w14:paraId="3641BE56">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ascii="黑体" w:eastAsia="黑体"/>
          <w:szCs w:val="21"/>
        </w:rPr>
      </w:pPr>
    </w:p>
    <w:p w14:paraId="11D42E10">
      <w:pPr>
        <w:spacing w:before="156" w:beforeLines="50" w:after="156" w:afterLines="50"/>
        <w:ind w:firstLine="420" w:firstLineChars="200"/>
        <w:outlineLvl w:val="2"/>
        <w:rPr>
          <w:rFonts w:ascii="黑体" w:hAnsi="黑体" w:eastAsia="黑体"/>
          <w:szCs w:val="21"/>
          <w:highlight w:val="none"/>
        </w:rPr>
      </w:pPr>
      <w:r>
        <w:rPr>
          <w:rFonts w:hint="eastAsia" w:ascii="黑体" w:hAnsi="黑体" w:eastAsia="黑体"/>
          <w:szCs w:val="21"/>
        </w:rPr>
        <w:t>On-DNA的酰胺缩合反应</w:t>
      </w:r>
      <w:r>
        <w:rPr>
          <w:rFonts w:ascii="黑体" w:hAnsi="黑体" w:eastAsia="黑体"/>
          <w:szCs w:val="21"/>
        </w:rPr>
        <w:t xml:space="preserve">  </w:t>
      </w:r>
      <w:r>
        <w:rPr>
          <w:rFonts w:hint="eastAsia" w:ascii="黑体" w:hAnsi="黑体" w:eastAsia="黑体"/>
          <w:highlight w:val="none"/>
          <w:lang w:val="en-US" w:eastAsia="zh-CN"/>
        </w:rPr>
        <w:t>a</w:t>
      </w:r>
      <w:r>
        <w:rPr>
          <w:rFonts w:hint="eastAsia" w:ascii="黑体" w:hAnsi="黑体" w:eastAsia="黑体"/>
          <w:highlight w:val="none"/>
        </w:rPr>
        <w:t>mide condensation reaction of On-DNA</w:t>
      </w:r>
      <w:r>
        <w:rPr>
          <w:rFonts w:ascii="黑体" w:hAnsi="黑体" w:eastAsia="黑体"/>
          <w:szCs w:val="21"/>
          <w:highlight w:val="none"/>
        </w:rPr>
        <w:t xml:space="preserve"> </w:t>
      </w:r>
    </w:p>
    <w:p w14:paraId="6FC6A0E4">
      <w:pPr>
        <w:pStyle w:val="25"/>
        <w:rPr>
          <w:rFonts w:hint="eastAsia"/>
          <w:lang w:eastAsia="zh-CN"/>
        </w:rPr>
      </w:pPr>
      <w:r>
        <w:rPr>
          <w:rFonts w:hint="eastAsia"/>
        </w:rPr>
        <w:t>生成酰胺键的缩合反应称为酰胺缩合反应</w:t>
      </w:r>
      <w:r>
        <w:rPr>
          <w:rFonts w:hint="eastAsia"/>
          <w:lang w:eastAsia="zh-CN"/>
        </w:rPr>
        <w:t>，酰胺缩合反应中以DNA上的反应位点参与化学反应，并在DNA上形成酰胺键的反应称为On-DNA的酰胺缩合反应。如氨基修饰的DNA和羧酸类化合物，相互作用脱去水生成On-DNA酰胺化合物的过程。</w:t>
      </w:r>
    </w:p>
    <w:p w14:paraId="6A82AFA0">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ascii="黑体" w:eastAsia="黑体"/>
          <w:szCs w:val="21"/>
        </w:rPr>
      </w:pPr>
    </w:p>
    <w:p w14:paraId="6518239A">
      <w:pPr>
        <w:spacing w:before="156" w:beforeLines="50" w:after="156" w:afterLines="50"/>
        <w:ind w:firstLine="420" w:firstLineChars="200"/>
        <w:outlineLvl w:val="2"/>
        <w:rPr>
          <w:rFonts w:ascii="黑体" w:eastAsia="黑体"/>
          <w:szCs w:val="21"/>
          <w:highlight w:val="yellow"/>
        </w:rPr>
      </w:pPr>
      <w:r>
        <w:rPr>
          <w:rFonts w:hint="eastAsia" w:ascii="黑体" w:eastAsia="黑体"/>
          <w:szCs w:val="21"/>
        </w:rPr>
        <w:t>聚合酶链式反应</w:t>
      </w:r>
      <w:r>
        <w:rPr>
          <w:rFonts w:ascii="黑体" w:eastAsia="黑体"/>
          <w:szCs w:val="21"/>
          <w:highlight w:val="none"/>
        </w:rPr>
        <w:t xml:space="preserve"> </w:t>
      </w:r>
      <w:r>
        <w:rPr>
          <w:rFonts w:hint="eastAsia" w:ascii="黑体" w:eastAsia="黑体"/>
          <w:szCs w:val="21"/>
          <w:highlight w:val="none"/>
          <w:lang w:val="en-US" w:eastAsia="zh-CN"/>
        </w:rPr>
        <w:t xml:space="preserve"> </w:t>
      </w:r>
      <w:r>
        <w:rPr>
          <w:rFonts w:hint="eastAsia" w:ascii="黑体" w:hAnsi="黑体" w:eastAsia="黑体"/>
          <w:highlight w:val="none"/>
          <w:lang w:val="en-US" w:eastAsia="zh-CN"/>
        </w:rPr>
        <w:t>p</w:t>
      </w:r>
      <w:r>
        <w:rPr>
          <w:rFonts w:hint="eastAsia" w:ascii="黑体" w:hAnsi="黑体" w:eastAsia="黑体"/>
          <w:highlight w:val="none"/>
        </w:rPr>
        <w:t>olymerase</w:t>
      </w:r>
      <w:r>
        <w:rPr>
          <w:rFonts w:hint="eastAsia" w:ascii="黑体" w:hAnsi="黑体" w:eastAsia="黑体"/>
          <w:highlight w:val="none"/>
          <w:lang w:val="en-US" w:eastAsia="zh-CN"/>
        </w:rPr>
        <w:t xml:space="preserve"> c</w:t>
      </w:r>
      <w:r>
        <w:rPr>
          <w:rFonts w:hint="eastAsia" w:ascii="黑体" w:hAnsi="黑体" w:eastAsia="黑体"/>
          <w:highlight w:val="none"/>
        </w:rPr>
        <w:t xml:space="preserve">hain </w:t>
      </w:r>
      <w:r>
        <w:rPr>
          <w:rFonts w:hint="eastAsia" w:ascii="黑体" w:hAnsi="黑体" w:eastAsia="黑体"/>
          <w:highlight w:val="none"/>
          <w:lang w:val="en-US" w:eastAsia="zh-CN"/>
        </w:rPr>
        <w:t>r</w:t>
      </w:r>
      <w:r>
        <w:rPr>
          <w:rFonts w:hint="eastAsia" w:ascii="黑体" w:hAnsi="黑体" w:eastAsia="黑体"/>
          <w:highlight w:val="none"/>
        </w:rPr>
        <w:t>eaction</w:t>
      </w:r>
    </w:p>
    <w:p w14:paraId="5CDEDCC2">
      <w:pPr>
        <w:autoSpaceDE w:val="0"/>
        <w:autoSpaceDN w:val="0"/>
        <w:ind w:firstLine="420" w:firstLineChars="200"/>
        <w:rPr>
          <w:rFonts w:hint="eastAsia"/>
          <w:lang w:eastAsia="zh-CN"/>
        </w:rPr>
      </w:pPr>
      <w:r>
        <w:rPr>
          <w:rFonts w:hint="eastAsia" w:ascii="宋体"/>
        </w:rPr>
        <w:t>又称体外DNA扩增技术，是利用耐热DNA聚合酶的反复作用，通过变性-退火-延伸循环操作，在体外特异地扩增所需要的DNA片段的一种技术，能快速将皮克水平的DNA特异性地扩增100万倍左右，达到微克水平。</w:t>
      </w:r>
    </w:p>
    <w:p w14:paraId="096A1136">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ascii="黑体" w:eastAsia="黑体"/>
          <w:szCs w:val="21"/>
        </w:rPr>
      </w:pPr>
      <w:bookmarkStart w:id="55" w:name="_Toc77403538"/>
      <w:bookmarkStart w:id="56" w:name="_Toc77403855"/>
    </w:p>
    <w:bookmarkEnd w:id="55"/>
    <w:bookmarkEnd w:id="56"/>
    <w:p w14:paraId="7F5B141E">
      <w:pPr>
        <w:spacing w:before="156" w:beforeLines="50" w:after="156" w:afterLines="50"/>
        <w:ind w:firstLine="420" w:firstLineChars="200"/>
        <w:outlineLvl w:val="2"/>
        <w:rPr>
          <w:rFonts w:ascii="黑体" w:eastAsia="黑体"/>
          <w:szCs w:val="21"/>
          <w:highlight w:val="yellow"/>
        </w:rPr>
      </w:pPr>
      <w:r>
        <w:rPr>
          <w:rFonts w:hint="eastAsia" w:ascii="黑体" w:eastAsia="黑体"/>
          <w:szCs w:val="21"/>
        </w:rPr>
        <w:t>DNA编码化合物库</w:t>
      </w:r>
      <w:r>
        <w:rPr>
          <w:rFonts w:ascii="黑体" w:eastAsia="黑体"/>
          <w:szCs w:val="21"/>
          <w:highlight w:val="none"/>
        </w:rPr>
        <w:t xml:space="preserve"> </w:t>
      </w:r>
      <w:r>
        <w:rPr>
          <w:rFonts w:hint="eastAsia" w:ascii="黑体" w:eastAsia="黑体"/>
          <w:szCs w:val="21"/>
          <w:highlight w:val="none"/>
          <w:lang w:val="en-US" w:eastAsia="zh-CN"/>
        </w:rPr>
        <w:t xml:space="preserve"> </w:t>
      </w:r>
      <w:r>
        <w:rPr>
          <w:rFonts w:hint="eastAsia" w:ascii="黑体" w:hAnsi="黑体" w:eastAsia="黑体"/>
          <w:highlight w:val="none"/>
        </w:rPr>
        <w:t xml:space="preserve">DNA </w:t>
      </w:r>
      <w:r>
        <w:rPr>
          <w:rFonts w:hint="eastAsia" w:ascii="黑体" w:hAnsi="黑体" w:eastAsia="黑体"/>
          <w:highlight w:val="none"/>
          <w:lang w:val="en-US" w:eastAsia="zh-CN"/>
        </w:rPr>
        <w:t>e</w:t>
      </w:r>
      <w:r>
        <w:rPr>
          <w:rFonts w:hint="eastAsia" w:ascii="黑体" w:hAnsi="黑体" w:eastAsia="黑体"/>
          <w:highlight w:val="none"/>
        </w:rPr>
        <w:t xml:space="preserve">ncoded </w:t>
      </w:r>
      <w:r>
        <w:rPr>
          <w:rFonts w:hint="eastAsia" w:ascii="黑体" w:hAnsi="黑体" w:eastAsia="黑体"/>
          <w:highlight w:val="none"/>
          <w:lang w:val="en-US" w:eastAsia="zh-CN"/>
        </w:rPr>
        <w:t>l</w:t>
      </w:r>
      <w:r>
        <w:rPr>
          <w:rFonts w:hint="eastAsia" w:ascii="黑体" w:hAnsi="黑体" w:eastAsia="黑体"/>
          <w:highlight w:val="none"/>
        </w:rPr>
        <w:t>ibrary</w:t>
      </w:r>
    </w:p>
    <w:p w14:paraId="5890DE1D">
      <w:pPr>
        <w:autoSpaceDE w:val="0"/>
        <w:autoSpaceDN w:val="0"/>
        <w:ind w:firstLine="420" w:firstLineChars="200"/>
        <w:rPr>
          <w:rFonts w:ascii="宋体"/>
        </w:rPr>
      </w:pPr>
      <w:r>
        <w:rPr>
          <w:rFonts w:hint="eastAsia" w:ascii="宋体"/>
        </w:rPr>
        <w:t>由大量被已知唯一的DNA序列所标记的化合物混合而成的化合物的集合。</w:t>
      </w:r>
    </w:p>
    <w:p w14:paraId="6E4589B1">
      <w:pPr>
        <w:numPr>
          <w:ilvl w:val="1"/>
          <w:numId w:val="18"/>
        </w:numPr>
        <w:spacing w:before="156" w:beforeLines="50" w:after="156" w:afterLines="50"/>
        <w:ind w:left="0"/>
        <w:outlineLvl w:val="2"/>
        <w:rPr>
          <w:rFonts w:ascii="黑体" w:eastAsia="黑体"/>
          <w:szCs w:val="21"/>
        </w:rPr>
      </w:pPr>
      <w:bookmarkStart w:id="57" w:name="_Toc77403539"/>
      <w:bookmarkEnd w:id="57"/>
      <w:bookmarkStart w:id="58" w:name="_Toc77403856"/>
      <w:bookmarkEnd w:id="58"/>
      <w:r>
        <w:rPr>
          <w:rFonts w:hint="eastAsia" w:ascii="黑体" w:eastAsia="黑体"/>
          <w:szCs w:val="21"/>
          <w:lang w:val="en-US" w:eastAsia="zh-CN"/>
        </w:rPr>
        <w:t>缩略语</w:t>
      </w:r>
    </w:p>
    <w:p w14:paraId="0B4E6E23">
      <w:pPr>
        <w:pStyle w:val="25"/>
        <w:keepNext w:val="0"/>
        <w:keepLines w:val="0"/>
        <w:pageBreakBefore w:val="0"/>
        <w:widowControl/>
        <w:kinsoku/>
        <w:wordWrap/>
        <w:overflowPunct/>
        <w:topLinePunct w:val="0"/>
        <w:autoSpaceDE w:val="0"/>
        <w:autoSpaceDN w:val="0"/>
        <w:bidi w:val="0"/>
        <w:adjustRightInd/>
        <w:snapToGrid/>
        <w:textAlignment w:val="auto"/>
      </w:pPr>
      <w:r>
        <w:rPr>
          <w:rFonts w:hint="eastAsia"/>
          <w:lang w:val="en-US" w:eastAsia="zh-CN"/>
        </w:rPr>
        <w:t>下列缩略语适用于本文件</w:t>
      </w:r>
      <w:r>
        <w:rPr>
          <w:rFonts w:hint="eastAsia"/>
        </w:rPr>
        <w:t>。</w:t>
      </w:r>
    </w:p>
    <w:p w14:paraId="68A3B4F5">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HATU：</w:t>
      </w:r>
      <w:r>
        <w:rPr>
          <w:rFonts w:hint="eastAsia" w:ascii="宋体" w:hAnsi="宋体" w:eastAsia="宋体" w:cs="宋体"/>
          <w:color w:val="333333"/>
          <w:szCs w:val="21"/>
          <w:shd w:val="clear" w:color="auto" w:fill="FFFFFF"/>
        </w:rPr>
        <w:t>2-(7-氮杂苯并三氮唑)-N,N,N',N'-四甲基脲六氟磷酸酯</w:t>
      </w:r>
      <w:r>
        <w:rPr>
          <w:rFonts w:hint="eastAsia" w:ascii="宋体" w:hAnsi="Times New Roman" w:eastAsia="宋体" w:cs="Times New Roman"/>
          <w:kern w:val="0"/>
          <w:sz w:val="21"/>
          <w:szCs w:val="20"/>
          <w:lang w:val="en-US" w:eastAsia="zh-CN" w:bidi="ar-SA"/>
        </w:rPr>
        <w:t>（2-(7-Azabenzotriazol-1-yl)-N,N,N',N'-tetramethyluronium hexafluorophosphate）</w:t>
      </w:r>
    </w:p>
    <w:p w14:paraId="7D3B3186">
      <w:pPr>
        <w:ind w:firstLine="420" w:firstLineChars="200"/>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DMA：</w:t>
      </w:r>
      <w:r>
        <w:rPr>
          <w:rFonts w:hint="eastAsia" w:ascii="宋体" w:cs="Times New Roman"/>
          <w:kern w:val="0"/>
          <w:sz w:val="21"/>
          <w:szCs w:val="20"/>
          <w:lang w:val="en-US" w:eastAsia="zh-CN" w:bidi="ar-SA"/>
        </w:rPr>
        <w:t>N,N-二甲基乙酰胺（N,N-dimethylacetamide）</w:t>
      </w:r>
    </w:p>
    <w:p w14:paraId="73EAC252">
      <w:pPr>
        <w:ind w:firstLine="420" w:firstLineChars="200"/>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PBS：磷酸盐缓冲液</w:t>
      </w:r>
      <w:r>
        <w:rPr>
          <w:rFonts w:hint="eastAsia" w:ascii="宋体" w:cs="Times New Roman"/>
          <w:kern w:val="0"/>
          <w:sz w:val="21"/>
          <w:szCs w:val="20"/>
          <w:lang w:val="en-US" w:eastAsia="zh-CN" w:bidi="ar-SA"/>
        </w:rPr>
        <w:t>（Phosphate Buffered Saline）</w:t>
      </w:r>
    </w:p>
    <w:p w14:paraId="59F78E0C">
      <w:pPr>
        <w:ind w:firstLine="420" w:firstLineChars="200"/>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DIPEA：N,N-二异丙基乙胺（N,N-Diisopropylethylamine）</w:t>
      </w:r>
    </w:p>
    <w:p w14:paraId="44EB7A2B">
      <w:pPr>
        <w:ind w:firstLine="420" w:firstLineChars="200"/>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ACN：乙腈（Acetonitrile）</w:t>
      </w:r>
    </w:p>
    <w:p w14:paraId="3E1B7F4A">
      <w:pPr>
        <w:ind w:firstLine="420" w:firstLineChars="200"/>
        <w:rPr>
          <w:rFonts w:hint="eastAsia" w:ascii="宋体" w:hAnsi="Times New Roman"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EDTA</w:t>
      </w:r>
      <w:r>
        <w:rPr>
          <w:rFonts w:hint="eastAsia" w:ascii="宋体" w:hAnsi="Times New Roman" w:cs="Times New Roman"/>
          <w:kern w:val="0"/>
          <w:sz w:val="21"/>
          <w:szCs w:val="20"/>
          <w:lang w:val="en-US" w:eastAsia="zh-CN" w:bidi="ar-SA"/>
        </w:rPr>
        <w:t>:乙二胺四乙酸（Ethylene Diamine Tetraacetic Acid）</w:t>
      </w:r>
    </w:p>
    <w:p w14:paraId="7CF63005">
      <w:pPr>
        <w:ind w:firstLine="420" w:firstLineChars="200"/>
        <w:rPr>
          <w:rFonts w:hint="eastAsia" w:ascii="宋体" w:hAnsi="Times New Roman" w:eastAsia="宋体" w:cs="Times New Roman"/>
          <w:kern w:val="0"/>
          <w:sz w:val="21"/>
          <w:szCs w:val="20"/>
          <w:lang w:val="en-US" w:eastAsia="zh-CN" w:bidi="ar-SA"/>
        </w:rPr>
      </w:pPr>
      <w:r>
        <w:rPr>
          <w:rFonts w:hint="default" w:ascii="宋体" w:hAnsi="Times New Roman" w:eastAsia="宋体" w:cs="Times New Roman"/>
          <w:kern w:val="0"/>
          <w:sz w:val="21"/>
          <w:szCs w:val="20"/>
          <w:lang w:val="en-US" w:eastAsia="zh-CN" w:bidi="ar-SA"/>
        </w:rPr>
        <w:t>HFIPA</w:t>
      </w:r>
      <w:r>
        <w:rPr>
          <w:rFonts w:hint="eastAsia" w:ascii="宋体" w:hAnsi="Times New Roman" w:eastAsia="宋体" w:cs="Times New Roman"/>
          <w:kern w:val="0"/>
          <w:sz w:val="21"/>
          <w:szCs w:val="20"/>
          <w:lang w:val="en-US" w:eastAsia="zh-CN" w:bidi="ar-SA"/>
        </w:rPr>
        <w:t>:六氟异丙醇（Hexafluoroisopropanol）</w:t>
      </w:r>
    </w:p>
    <w:p w14:paraId="7DB61643">
      <w:pPr>
        <w:ind w:firstLine="420" w:firstLineChars="200"/>
        <w:rPr>
          <w:rFonts w:hint="eastAsia" w:ascii="宋体" w:hAnsi="Times New Roman" w:eastAsia="宋体" w:cs="Times New Roman"/>
          <w:kern w:val="0"/>
          <w:sz w:val="21"/>
          <w:szCs w:val="20"/>
          <w:lang w:val="en-US" w:eastAsia="zh-CN" w:bidi="ar-SA"/>
        </w:rPr>
      </w:pPr>
      <w:r>
        <w:rPr>
          <w:rFonts w:hint="default" w:ascii="宋体" w:hAnsi="Times New Roman" w:eastAsia="宋体" w:cs="Times New Roman"/>
          <w:kern w:val="0"/>
          <w:sz w:val="21"/>
          <w:szCs w:val="20"/>
          <w:lang w:val="en-US" w:eastAsia="zh-CN" w:bidi="ar-SA"/>
        </w:rPr>
        <w:t>HPLC</w:t>
      </w:r>
      <w:r>
        <w:rPr>
          <w:rFonts w:hint="eastAsia" w:ascii="宋体" w:hAnsi="Times New Roman" w:eastAsia="宋体" w:cs="Times New Roman"/>
          <w:kern w:val="0"/>
          <w:sz w:val="21"/>
          <w:szCs w:val="20"/>
          <w:lang w:val="en-US" w:eastAsia="zh-CN" w:bidi="ar-SA"/>
        </w:rPr>
        <w:t>:高效液相色谱（high performance liquid chromatography）</w:t>
      </w:r>
    </w:p>
    <w:p w14:paraId="5EAF8951">
      <w:pPr>
        <w:pStyle w:val="2"/>
        <w:rPr>
          <w:rFonts w:hint="default" w:ascii="宋体" w:hAnsi="Times New Roman" w:eastAsia="宋体" w:cs="Times New Roman"/>
          <w:kern w:val="0"/>
          <w:sz w:val="21"/>
          <w:szCs w:val="20"/>
          <w:lang w:val="en-US" w:eastAsia="zh-CN" w:bidi="ar-SA"/>
        </w:rPr>
      </w:pPr>
      <w:r>
        <w:rPr>
          <w:rFonts w:hint="default" w:ascii="宋体" w:hAnsi="Times New Roman" w:eastAsia="宋体" w:cs="Times New Roman"/>
          <w:kern w:val="0"/>
          <w:sz w:val="21"/>
          <w:szCs w:val="20"/>
          <w:lang w:val="en-US" w:eastAsia="zh-CN" w:bidi="ar-SA"/>
        </w:rPr>
        <w:t>LC-MS：液相色谱-质谱联用仪（Liquid Chromatography-Mass Spectrometry）</w:t>
      </w:r>
    </w:p>
    <w:p w14:paraId="6387335B">
      <w:pPr>
        <w:ind w:firstLine="420" w:firstLineChars="200"/>
        <w:rPr>
          <w:rFonts w:hint="default"/>
          <w:lang w:val="en-US" w:eastAsia="zh-CN"/>
        </w:rPr>
      </w:pPr>
      <w:r>
        <w:rPr>
          <w:rFonts w:hint="eastAsia" w:ascii="宋体" w:hAnsi="Times New Roman" w:eastAsia="宋体" w:cs="Times New Roman"/>
          <w:kern w:val="0"/>
          <w:sz w:val="21"/>
          <w:szCs w:val="20"/>
          <w:lang w:val="en-US" w:eastAsia="zh-CN" w:bidi="ar-SA"/>
        </w:rPr>
        <w:t>ddH2O：超纯水</w:t>
      </w:r>
    </w:p>
    <w:p w14:paraId="3BEC480D">
      <w:pPr>
        <w:pStyle w:val="50"/>
        <w:numPr>
          <w:ilvl w:val="0"/>
          <w:numId w:val="18"/>
        </w:numPr>
        <w:spacing w:before="312" w:after="312"/>
      </w:pPr>
      <w:bookmarkStart w:id="59" w:name="_Toc9664"/>
      <w:r>
        <w:rPr>
          <w:rFonts w:hint="eastAsia"/>
          <w:lang w:val="en-US" w:eastAsia="zh-CN"/>
        </w:rPr>
        <w:t>原理</w:t>
      </w:r>
      <w:bookmarkEnd w:id="59"/>
    </w:p>
    <w:p w14:paraId="12988BC4">
      <w:pPr>
        <w:numPr>
          <w:ilvl w:val="1"/>
          <w:numId w:val="18"/>
        </w:numPr>
        <w:spacing w:before="156" w:beforeLines="50" w:after="156" w:afterLines="50"/>
        <w:ind w:left="0"/>
        <w:outlineLvl w:val="2"/>
        <w:rPr>
          <w:rFonts w:ascii="黑体" w:eastAsia="黑体"/>
          <w:szCs w:val="21"/>
        </w:rPr>
      </w:pPr>
      <w:r>
        <w:rPr>
          <w:rFonts w:hint="eastAsia" w:ascii="黑体" w:eastAsia="黑体"/>
          <w:szCs w:val="21"/>
        </w:rPr>
        <w:t>产物定性检测原理</w:t>
      </w:r>
    </w:p>
    <w:p w14:paraId="331CE6AE">
      <w:pPr>
        <w:autoSpaceDE w:val="0"/>
        <w:autoSpaceDN w:val="0"/>
        <w:ind w:firstLine="420" w:firstLineChars="200"/>
        <w:rPr>
          <w:rFonts w:hint="eastAsia" w:ascii="宋体" w:hAnsi="Times New Roman" w:cs="Times New Roman"/>
        </w:rPr>
      </w:pPr>
      <w:r>
        <w:rPr>
          <w:rFonts w:hint="eastAsia" w:ascii="宋体" w:hAnsi="Times New Roman" w:cs="Times New Roman"/>
        </w:rPr>
        <w:t>采用LC-MS对DNA样品的相对分子质量（MW）进行检测，测得的相对分子量和计算的理论相对分子量进行比较得出相对误差，且MW偏差±0.05%内，产物结果正确。</w:t>
      </w:r>
    </w:p>
    <w:p w14:paraId="0EAE97AD">
      <w:pPr>
        <w:numPr>
          <w:ilvl w:val="1"/>
          <w:numId w:val="18"/>
        </w:numPr>
        <w:spacing w:before="156" w:beforeLines="50" w:after="156" w:afterLines="50"/>
        <w:ind w:left="0"/>
        <w:outlineLvl w:val="2"/>
        <w:rPr>
          <w:rFonts w:ascii="黑体" w:eastAsia="黑体"/>
          <w:szCs w:val="21"/>
        </w:rPr>
      </w:pPr>
      <w:r>
        <w:rPr>
          <w:rFonts w:hint="eastAsia" w:ascii="黑体" w:eastAsia="黑体"/>
          <w:szCs w:val="21"/>
        </w:rPr>
        <w:t>产物纯度测试原理</w:t>
      </w:r>
    </w:p>
    <w:p w14:paraId="09902DC8">
      <w:pPr>
        <w:autoSpaceDE w:val="0"/>
        <w:autoSpaceDN w:val="0"/>
        <w:ind w:firstLine="420" w:firstLineChars="200"/>
        <w:rPr>
          <w:rFonts w:hint="eastAsia" w:ascii="宋体" w:hAnsi="Times New Roman" w:cs="Times New Roman"/>
        </w:rPr>
      </w:pPr>
      <w:r>
        <w:rPr>
          <w:rFonts w:hint="eastAsia" w:ascii="宋体" w:hAnsi="Times New Roman" w:cs="Times New Roman"/>
        </w:rPr>
        <w:t>采用HPLC对产物核酸的纯度进行测定，根据检测结果计算目标峰面积占所有峰面积的比值，得出产物核酸的纯度。</w:t>
      </w:r>
    </w:p>
    <w:p w14:paraId="5B697590">
      <w:pPr>
        <w:numPr>
          <w:ilvl w:val="1"/>
          <w:numId w:val="18"/>
        </w:numPr>
        <w:spacing w:before="156" w:beforeLines="50" w:after="156" w:afterLines="50"/>
        <w:ind w:left="0"/>
        <w:outlineLvl w:val="2"/>
        <w:rPr>
          <w:rFonts w:ascii="黑体" w:eastAsia="黑体"/>
          <w:szCs w:val="21"/>
        </w:rPr>
      </w:pPr>
      <w:r>
        <w:rPr>
          <w:rFonts w:hint="eastAsia" w:ascii="黑体" w:eastAsia="黑体"/>
          <w:szCs w:val="21"/>
        </w:rPr>
        <w:t>转化率测试原理</w:t>
      </w:r>
    </w:p>
    <w:p w14:paraId="0448ACE3">
      <w:pPr>
        <w:autoSpaceDE w:val="0"/>
        <w:autoSpaceDN w:val="0"/>
        <w:ind w:firstLine="420" w:firstLineChars="200"/>
        <w:rPr>
          <w:rFonts w:hint="eastAsia" w:ascii="宋体" w:hAnsi="Times New Roman" w:cs="Times New Roman"/>
        </w:rPr>
      </w:pPr>
      <w:r>
        <w:rPr>
          <w:rFonts w:hint="eastAsia" w:ascii="宋体" w:hAnsi="Times New Roman" w:cs="Times New Roman"/>
        </w:rPr>
        <w:t>核酸样品在260nm紫外吸收最强,测得核酸在260nm处的吸收强度即OD260数值，测得的OD260数值乘以稀释倍数作为最终定量的OD260数值，用OD260数值除以消光系数转换为样品浓度。样品浓度乘以体积可得出样品总量。转化率=产物样品总量/on-DNA底物量*100%。</w:t>
      </w:r>
    </w:p>
    <w:p w14:paraId="78C06754">
      <w:pPr>
        <w:pStyle w:val="50"/>
        <w:numPr>
          <w:ilvl w:val="0"/>
          <w:numId w:val="18"/>
        </w:numPr>
        <w:spacing w:before="312" w:after="312"/>
      </w:pPr>
      <w:bookmarkStart w:id="60" w:name="_Toc10607"/>
      <w:r>
        <w:rPr>
          <w:rFonts w:hint="eastAsia"/>
          <w:lang w:val="en-US" w:eastAsia="zh-CN"/>
        </w:rPr>
        <w:t>试剂和材料</w:t>
      </w:r>
      <w:bookmarkEnd w:id="60"/>
    </w:p>
    <w:p w14:paraId="038A1737">
      <w:pPr>
        <w:numPr>
          <w:ilvl w:val="1"/>
          <w:numId w:val="18"/>
        </w:numPr>
        <w:spacing w:before="156" w:beforeLines="50" w:after="156" w:afterLines="50"/>
        <w:ind w:left="0"/>
        <w:outlineLvl w:val="2"/>
        <w:rPr>
          <w:rFonts w:hint="eastAsia" w:ascii="宋体" w:hAnsi="宋体" w:eastAsia="宋体" w:cs="宋体"/>
        </w:rPr>
      </w:pPr>
      <w:r>
        <w:rPr>
          <w:rFonts w:hint="eastAsia" w:ascii="宋体" w:hAnsi="宋体" w:eastAsia="宋体" w:cs="宋体"/>
          <w:szCs w:val="21"/>
        </w:rPr>
        <w:t>核酸底物</w:t>
      </w:r>
    </w:p>
    <w:p w14:paraId="24A7EBCB">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羧酸底物</w:t>
      </w:r>
    </w:p>
    <w:p w14:paraId="6D5D9941">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ddH2O</w:t>
      </w:r>
    </w:p>
    <w:p w14:paraId="46C43683">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无水乙醇</w:t>
      </w:r>
    </w:p>
    <w:p w14:paraId="375632FA">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5M氯化钠溶液</w:t>
      </w:r>
    </w:p>
    <w:p w14:paraId="4AD4753B">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HATU</w:t>
      </w:r>
    </w:p>
    <w:p w14:paraId="4257F5E8">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DMA</w:t>
      </w:r>
    </w:p>
    <w:p w14:paraId="53D99B2E">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DIPEA</w:t>
      </w:r>
    </w:p>
    <w:p w14:paraId="09FC11E8">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ACN</w:t>
      </w:r>
    </w:p>
    <w:p w14:paraId="15AFFFE0">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EDTA</w:t>
      </w:r>
    </w:p>
    <w:p w14:paraId="09ED42D0">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HFIPA</w:t>
      </w:r>
    </w:p>
    <w:p w14:paraId="1AAFBABD">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离心管</w:t>
      </w:r>
    </w:p>
    <w:p w14:paraId="4FA8A08A">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枪头</w:t>
      </w:r>
    </w:p>
    <w:p w14:paraId="2137DF00">
      <w:pPr>
        <w:numPr>
          <w:ilvl w:val="1"/>
          <w:numId w:val="18"/>
        </w:numPr>
        <w:spacing w:before="156" w:beforeLines="50" w:after="156" w:afterLines="50"/>
        <w:ind w:left="0"/>
        <w:outlineLvl w:val="2"/>
        <w:rPr>
          <w:rFonts w:hint="eastAsia" w:ascii="宋体" w:hAnsi="宋体" w:eastAsia="宋体" w:cs="宋体"/>
        </w:rPr>
      </w:pPr>
      <w:r>
        <w:rPr>
          <w:rFonts w:hint="eastAsia" w:ascii="宋体" w:hAnsi="宋体" w:eastAsia="宋体" w:cs="宋体"/>
          <w:szCs w:val="21"/>
        </w:rPr>
        <w:t>离心管架</w:t>
      </w:r>
    </w:p>
    <w:p w14:paraId="04E254E9">
      <w:pPr>
        <w:pStyle w:val="50"/>
        <w:numPr>
          <w:ilvl w:val="0"/>
          <w:numId w:val="18"/>
        </w:numPr>
        <w:spacing w:before="312" w:after="312"/>
      </w:pPr>
      <w:bookmarkStart w:id="61" w:name="_Toc11370"/>
      <w:r>
        <w:rPr>
          <w:rFonts w:hint="eastAsia"/>
          <w:lang w:val="en-US" w:eastAsia="zh-CN"/>
        </w:rPr>
        <w:t>仪器设备</w:t>
      </w:r>
      <w:bookmarkEnd w:id="61"/>
    </w:p>
    <w:p w14:paraId="03E15165">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分析天平：感量0.001g</w:t>
      </w:r>
    </w:p>
    <w:p w14:paraId="17E25703">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低温高速离心机</w:t>
      </w:r>
    </w:p>
    <w:p w14:paraId="624641E1">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冻干机</w:t>
      </w:r>
    </w:p>
    <w:p w14:paraId="4B2D05CE">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酶标仪</w:t>
      </w:r>
    </w:p>
    <w:p w14:paraId="436B615C">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高效液相色谱仪</w:t>
      </w:r>
    </w:p>
    <w:p w14:paraId="69943FD1">
      <w:pPr>
        <w:numPr>
          <w:ilvl w:val="1"/>
          <w:numId w:val="18"/>
        </w:numPr>
        <w:spacing w:before="156" w:beforeLines="50" w:after="156" w:afterLines="50"/>
        <w:ind w:left="0"/>
        <w:outlineLvl w:val="2"/>
        <w:rPr>
          <w:rFonts w:hint="eastAsia" w:ascii="宋体" w:hAnsi="宋体" w:eastAsia="宋体" w:cs="宋体"/>
          <w:szCs w:val="21"/>
        </w:rPr>
      </w:pPr>
      <w:r>
        <w:rPr>
          <w:rFonts w:hint="eastAsia" w:ascii="宋体" w:hAnsi="宋体" w:eastAsia="宋体" w:cs="宋体"/>
          <w:szCs w:val="21"/>
        </w:rPr>
        <w:t>液相色谱-质谱联用仪</w:t>
      </w:r>
    </w:p>
    <w:p w14:paraId="2F85C1C9">
      <w:pPr>
        <w:pStyle w:val="50"/>
        <w:numPr>
          <w:ilvl w:val="0"/>
          <w:numId w:val="18"/>
        </w:numPr>
        <w:spacing w:before="312" w:after="312"/>
      </w:pPr>
      <w:r>
        <w:rPr>
          <w:rFonts w:hint="eastAsia"/>
          <w:lang w:val="en-US" w:eastAsia="zh-CN"/>
        </w:rPr>
        <w:t>反应底物的一般要求</w:t>
      </w:r>
    </w:p>
    <w:p w14:paraId="27860434">
      <w:pPr>
        <w:numPr>
          <w:ilvl w:val="1"/>
          <w:numId w:val="18"/>
        </w:numPr>
        <w:spacing w:before="156" w:beforeLines="50" w:after="156" w:afterLines="50"/>
        <w:ind w:left="0"/>
        <w:outlineLvl w:val="2"/>
        <w:rPr>
          <w:rFonts w:hint="eastAsia" w:ascii="黑体" w:eastAsia="黑体"/>
          <w:szCs w:val="21"/>
          <w:lang w:val="en-US" w:eastAsia="zh-CN"/>
        </w:rPr>
      </w:pPr>
      <w:r>
        <w:rPr>
          <w:rFonts w:hint="eastAsia" w:ascii="黑体" w:eastAsia="黑体"/>
          <w:szCs w:val="21"/>
          <w:lang w:val="en-US" w:eastAsia="zh-CN"/>
        </w:rPr>
        <w:t>ON-DNA反应底物</w:t>
      </w:r>
    </w:p>
    <w:p w14:paraId="02690FDF">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outlineLvl w:val="3"/>
        <w:rPr>
          <w:rFonts w:hint="eastAsia" w:ascii="宋体"/>
          <w:szCs w:val="21"/>
        </w:rPr>
      </w:pPr>
      <w:r>
        <w:rPr>
          <w:rFonts w:hint="eastAsia" w:ascii="宋体"/>
          <w:szCs w:val="21"/>
        </w:rPr>
        <w:t xml:space="preserve">收集培养后的细胞，按照GB/T 42076.1-2022 </w:t>
      </w:r>
      <w:r>
        <w:rPr>
          <w:rFonts w:hint="eastAsia" w:ascii="宋体"/>
          <w:szCs w:val="21"/>
          <w:lang w:val="en-US" w:eastAsia="zh-CN"/>
        </w:rPr>
        <w:t xml:space="preserve"> </w:t>
      </w:r>
      <w:r>
        <w:rPr>
          <w:rFonts w:hint="eastAsia" w:ascii="宋体"/>
          <w:szCs w:val="21"/>
        </w:rPr>
        <w:t xml:space="preserve">生物技术 </w:t>
      </w:r>
      <w:r>
        <w:rPr>
          <w:rFonts w:hint="eastAsia" w:ascii="宋体"/>
          <w:szCs w:val="21"/>
          <w:lang w:val="en-US" w:eastAsia="zh-CN"/>
        </w:rPr>
        <w:t xml:space="preserve"> </w:t>
      </w:r>
      <w:r>
        <w:rPr>
          <w:rFonts w:hint="eastAsia" w:ascii="宋体"/>
          <w:szCs w:val="21"/>
        </w:rPr>
        <w:t>细胞计数</w:t>
      </w:r>
      <w:r>
        <w:rPr>
          <w:rFonts w:hint="eastAsia" w:ascii="宋体"/>
          <w:szCs w:val="21"/>
          <w:lang w:val="en-US" w:eastAsia="zh-CN"/>
        </w:rPr>
        <w:t xml:space="preserve"> </w:t>
      </w:r>
      <w:r>
        <w:rPr>
          <w:rFonts w:hint="eastAsia" w:ascii="宋体"/>
          <w:szCs w:val="21"/>
        </w:rPr>
        <w:t xml:space="preserve"> 第1部分：细胞计数方法通则执行细胞计数实验。氨基修饰的DNA或羧基修饰的DNA等on-DNA反应底物需溶解性良好、溶解后为无色或浅黄色澄清液体、无悬浮物无机械杂质；出厂需有质检报告且质检报告达到表1要求；到货后按表1要求抽样质检；反应前需进行样品定量。</w:t>
      </w:r>
    </w:p>
    <w:p w14:paraId="77587CD2">
      <w:pPr>
        <w:pStyle w:val="2"/>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default" w:eastAsia="宋体"/>
          <w:lang w:val="en-US" w:eastAsia="zh-CN"/>
        </w:rPr>
      </w:pPr>
      <w:r>
        <w:rPr>
          <w:rFonts w:hint="eastAsia" w:ascii="宋体"/>
          <w:b/>
          <w:bCs/>
          <w:szCs w:val="21"/>
          <w:lang w:val="en-US" w:eastAsia="zh-CN"/>
        </w:rPr>
        <w:t>表1</w:t>
      </w:r>
      <w:r>
        <w:rPr>
          <w:rFonts w:hint="eastAsia" w:ascii="宋体"/>
          <w:szCs w:val="21"/>
          <w:lang w:val="en-US" w:eastAsia="zh-CN"/>
        </w:rPr>
        <w:t xml:space="preserve">  XXX</w:t>
      </w:r>
    </w:p>
    <w:tbl>
      <w:tblPr>
        <w:tblStyle w:val="37"/>
        <w:tblW w:w="96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2"/>
        <w:gridCol w:w="3213"/>
        <w:gridCol w:w="3213"/>
      </w:tblGrid>
      <w:tr w14:paraId="4500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3212" w:type="dxa"/>
            <w:vAlign w:val="center"/>
          </w:tcPr>
          <w:p w14:paraId="27015298">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outlineLvl w:val="3"/>
              <w:rPr>
                <w:rFonts w:hint="eastAsia" w:ascii="宋体" w:hAnsi="Times New Roman" w:cs="Times New Roman"/>
                <w:szCs w:val="21"/>
              </w:rPr>
            </w:pPr>
            <w:r>
              <w:rPr>
                <w:rFonts w:hint="eastAsia" w:ascii="宋体" w:hAnsi="Times New Roman" w:cs="Times New Roman"/>
                <w:szCs w:val="21"/>
              </w:rPr>
              <w:t>测试项目</w:t>
            </w:r>
          </w:p>
        </w:tc>
        <w:tc>
          <w:tcPr>
            <w:tcW w:w="3213" w:type="dxa"/>
            <w:vAlign w:val="center"/>
          </w:tcPr>
          <w:p w14:paraId="4400FFDC">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outlineLvl w:val="3"/>
              <w:rPr>
                <w:rFonts w:hint="eastAsia" w:ascii="宋体" w:hAnsi="Times New Roman" w:cs="Times New Roman"/>
                <w:szCs w:val="21"/>
              </w:rPr>
            </w:pPr>
            <w:r>
              <w:rPr>
                <w:rFonts w:hint="eastAsia" w:ascii="宋体" w:hAnsi="Times New Roman" w:cs="Times New Roman"/>
                <w:szCs w:val="21"/>
              </w:rPr>
              <w:t>方法</w:t>
            </w:r>
          </w:p>
        </w:tc>
        <w:tc>
          <w:tcPr>
            <w:tcW w:w="3213" w:type="dxa"/>
            <w:vAlign w:val="center"/>
          </w:tcPr>
          <w:p w14:paraId="7165A344">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outlineLvl w:val="3"/>
              <w:rPr>
                <w:rFonts w:hint="eastAsia" w:ascii="宋体" w:hAnsi="Times New Roman" w:cs="Times New Roman"/>
                <w:szCs w:val="21"/>
              </w:rPr>
            </w:pPr>
            <w:r>
              <w:rPr>
                <w:rFonts w:hint="eastAsia" w:ascii="宋体" w:hAnsi="Times New Roman" w:cs="Times New Roman"/>
                <w:szCs w:val="21"/>
              </w:rPr>
              <w:t>验收准则</w:t>
            </w:r>
          </w:p>
        </w:tc>
      </w:tr>
      <w:tr w14:paraId="7ADF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3212" w:type="dxa"/>
            <w:vMerge w:val="restart"/>
            <w:vAlign w:val="center"/>
          </w:tcPr>
          <w:p w14:paraId="6CCE3C44">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outlineLvl w:val="3"/>
              <w:rPr>
                <w:rFonts w:hint="eastAsia" w:ascii="宋体" w:hAnsi="Times New Roman" w:cs="Times New Roman"/>
                <w:szCs w:val="21"/>
              </w:rPr>
            </w:pPr>
            <w:r>
              <w:rPr>
                <w:rFonts w:hint="eastAsia" w:ascii="宋体" w:hAnsi="Times New Roman" w:cs="Times New Roman"/>
                <w:szCs w:val="21"/>
              </w:rPr>
              <w:t>分子量</w:t>
            </w:r>
          </w:p>
        </w:tc>
        <w:tc>
          <w:tcPr>
            <w:tcW w:w="3213" w:type="dxa"/>
            <w:vAlign w:val="center"/>
          </w:tcPr>
          <w:p w14:paraId="78BB4A09">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outlineLvl w:val="3"/>
              <w:rPr>
                <w:rFonts w:hint="eastAsia" w:ascii="宋体" w:hAnsi="Times New Roman" w:cs="Times New Roman"/>
                <w:szCs w:val="21"/>
              </w:rPr>
            </w:pPr>
            <w:r>
              <w:rPr>
                <w:rFonts w:hint="eastAsia" w:ascii="宋体" w:hAnsi="Times New Roman" w:cs="Times New Roman"/>
                <w:szCs w:val="21"/>
              </w:rPr>
              <w:t>LC-MS</w:t>
            </w:r>
          </w:p>
        </w:tc>
        <w:tc>
          <w:tcPr>
            <w:tcW w:w="3213" w:type="dxa"/>
            <w:vAlign w:val="center"/>
          </w:tcPr>
          <w:p w14:paraId="597E1B69">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outlineLvl w:val="3"/>
              <w:rPr>
                <w:rFonts w:hint="eastAsia" w:ascii="宋体" w:hAnsi="Times New Roman" w:cs="Times New Roman"/>
                <w:szCs w:val="21"/>
              </w:rPr>
            </w:pPr>
            <w:r>
              <w:rPr>
                <w:rFonts w:hint="eastAsia" w:ascii="宋体" w:hAnsi="Times New Roman" w:cs="Times New Roman"/>
                <w:szCs w:val="21"/>
              </w:rPr>
              <w:t>MW偏差±0.05%</w:t>
            </w:r>
          </w:p>
        </w:tc>
      </w:tr>
      <w:tr w14:paraId="5928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3212" w:type="dxa"/>
            <w:vMerge w:val="continue"/>
            <w:vAlign w:val="center"/>
          </w:tcPr>
          <w:p w14:paraId="522ABA54">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outlineLvl w:val="3"/>
              <w:rPr>
                <w:rFonts w:hint="eastAsia" w:ascii="宋体" w:hAnsi="Times New Roman" w:cs="Times New Roman"/>
                <w:szCs w:val="21"/>
              </w:rPr>
            </w:pPr>
          </w:p>
        </w:tc>
        <w:tc>
          <w:tcPr>
            <w:tcW w:w="3213" w:type="dxa"/>
            <w:vAlign w:val="center"/>
          </w:tcPr>
          <w:p w14:paraId="37D88E8D">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outlineLvl w:val="3"/>
              <w:rPr>
                <w:rFonts w:hint="eastAsia" w:ascii="宋体" w:hAnsi="Times New Roman" w:cs="Times New Roman"/>
                <w:szCs w:val="21"/>
              </w:rPr>
            </w:pPr>
            <w:r>
              <w:rPr>
                <w:rFonts w:hint="eastAsia" w:ascii="宋体" w:hAnsi="Times New Roman" w:cs="Times New Roman"/>
                <w:szCs w:val="21"/>
              </w:rPr>
              <w:t>LC-MS</w:t>
            </w:r>
          </w:p>
        </w:tc>
        <w:tc>
          <w:tcPr>
            <w:tcW w:w="3213" w:type="dxa"/>
            <w:vAlign w:val="center"/>
          </w:tcPr>
          <w:p w14:paraId="597EF241">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outlineLvl w:val="3"/>
              <w:rPr>
                <w:rFonts w:hint="eastAsia" w:ascii="宋体" w:hAnsi="Times New Roman" w:cs="Times New Roman"/>
                <w:szCs w:val="21"/>
              </w:rPr>
            </w:pPr>
            <w:r>
              <w:rPr>
                <w:rFonts w:hint="eastAsia" w:ascii="宋体" w:hAnsi="Times New Roman" w:cs="Times New Roman"/>
                <w:szCs w:val="21"/>
              </w:rPr>
              <w:t>纯度≥90.00%</w:t>
            </w:r>
          </w:p>
        </w:tc>
      </w:tr>
      <w:tr w14:paraId="3AF9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212" w:type="dxa"/>
            <w:vAlign w:val="center"/>
          </w:tcPr>
          <w:p w14:paraId="31D38E60">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outlineLvl w:val="3"/>
              <w:rPr>
                <w:rFonts w:hint="eastAsia" w:ascii="宋体" w:hAnsi="Times New Roman" w:cs="Times New Roman"/>
                <w:szCs w:val="21"/>
              </w:rPr>
            </w:pPr>
            <w:r>
              <w:rPr>
                <w:rFonts w:hint="eastAsia" w:ascii="宋体" w:hAnsi="Times New Roman" w:cs="Times New Roman"/>
                <w:szCs w:val="21"/>
              </w:rPr>
              <w:t>纯度</w:t>
            </w:r>
          </w:p>
        </w:tc>
        <w:tc>
          <w:tcPr>
            <w:tcW w:w="3213" w:type="dxa"/>
            <w:vAlign w:val="center"/>
          </w:tcPr>
          <w:p w14:paraId="4A4ADFA4">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outlineLvl w:val="3"/>
              <w:rPr>
                <w:rFonts w:hint="eastAsia" w:ascii="宋体" w:hAnsi="Times New Roman" w:cs="Times New Roman"/>
                <w:szCs w:val="21"/>
              </w:rPr>
            </w:pPr>
            <w:r>
              <w:rPr>
                <w:rFonts w:hint="eastAsia" w:ascii="宋体" w:hAnsi="Times New Roman" w:cs="Times New Roman"/>
                <w:szCs w:val="21"/>
              </w:rPr>
              <w:t>HPLC</w:t>
            </w:r>
          </w:p>
        </w:tc>
        <w:tc>
          <w:tcPr>
            <w:tcW w:w="3213" w:type="dxa"/>
            <w:vAlign w:val="center"/>
          </w:tcPr>
          <w:p w14:paraId="283C4354">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outlineLvl w:val="3"/>
              <w:rPr>
                <w:rFonts w:hint="eastAsia" w:ascii="宋体" w:hAnsi="Times New Roman" w:cs="Times New Roman"/>
                <w:szCs w:val="21"/>
              </w:rPr>
            </w:pPr>
            <w:r>
              <w:rPr>
                <w:rFonts w:hint="eastAsia" w:ascii="宋体" w:hAnsi="Times New Roman" w:cs="Times New Roman"/>
                <w:szCs w:val="21"/>
              </w:rPr>
              <w:t>纯度≥90.00%</w:t>
            </w:r>
          </w:p>
        </w:tc>
      </w:tr>
    </w:tbl>
    <w:p w14:paraId="285080E7">
      <w:pPr>
        <w:keepNext w:val="0"/>
        <w:keepLines w:val="0"/>
        <w:pageBreakBefore w:val="0"/>
        <w:widowControl w:val="0"/>
        <w:numPr>
          <w:ilvl w:val="1"/>
          <w:numId w:val="18"/>
        </w:numPr>
        <w:kinsoku/>
        <w:wordWrap/>
        <w:overflowPunct/>
        <w:topLinePunct w:val="0"/>
        <w:autoSpaceDE/>
        <w:autoSpaceDN/>
        <w:bidi w:val="0"/>
        <w:adjustRightInd/>
        <w:snapToGrid/>
        <w:spacing w:before="313" w:beforeLines="100" w:after="156" w:afterLines="50"/>
        <w:ind w:left="0"/>
        <w:textAlignment w:val="auto"/>
        <w:outlineLvl w:val="2"/>
        <w:rPr>
          <w:rFonts w:ascii="黑体" w:eastAsia="黑体"/>
          <w:szCs w:val="21"/>
        </w:rPr>
      </w:pPr>
      <w:r>
        <w:rPr>
          <w:rFonts w:hint="eastAsia" w:ascii="黑体" w:eastAsia="黑体"/>
          <w:szCs w:val="21"/>
        </w:rPr>
        <w:t>小分子化合物</w:t>
      </w:r>
    </w:p>
    <w:p w14:paraId="0B9EB719">
      <w:pPr>
        <w:autoSpaceDE w:val="0"/>
        <w:autoSpaceDN w:val="0"/>
        <w:ind w:firstLine="420" w:firstLineChars="200"/>
        <w:rPr>
          <w:rFonts w:hint="eastAsia" w:ascii="宋体"/>
        </w:rPr>
      </w:pPr>
      <w:r>
        <w:rPr>
          <w:rFonts w:hint="eastAsia" w:ascii="宋体"/>
        </w:rPr>
        <w:t>反应化合物的编号、CAS号、分子量、名称、结构式均正确无误。纯度90%以上，按照存放标准存放，按要求称量。</w:t>
      </w:r>
    </w:p>
    <w:p w14:paraId="5AFE0DDE">
      <w:pPr>
        <w:numPr>
          <w:ilvl w:val="1"/>
          <w:numId w:val="18"/>
        </w:numPr>
        <w:spacing w:before="156" w:beforeLines="50" w:after="156" w:afterLines="50"/>
        <w:ind w:left="0"/>
        <w:outlineLvl w:val="2"/>
        <w:rPr>
          <w:rFonts w:ascii="黑体" w:eastAsia="黑体"/>
          <w:szCs w:val="21"/>
        </w:rPr>
      </w:pPr>
      <w:r>
        <w:rPr>
          <w:rFonts w:hint="eastAsia" w:ascii="黑体" w:eastAsia="黑体"/>
          <w:szCs w:val="21"/>
          <w:lang w:val="en-US" w:eastAsia="zh-CN"/>
        </w:rPr>
        <w:t>反应催化剂</w:t>
      </w:r>
    </w:p>
    <w:p w14:paraId="00F718BC">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outlineLvl w:val="3"/>
        <w:rPr>
          <w:rFonts w:ascii="宋体"/>
          <w:szCs w:val="21"/>
        </w:rPr>
      </w:pPr>
      <w:r>
        <w:rPr>
          <w:rFonts w:hint="eastAsia" w:cs="Times New Roman"/>
          <w:lang w:eastAsia="zh-CN"/>
        </w:rPr>
        <w:t>每个催化剂的编号、CAS号、分子量、名称、结构式均正确无误。纯度90%以上，按照存放标准存放，按要求称量。反应过程中所使用的缓冲液均检查配置日期是否过长，确保缓冲液均为无色透明澄清液体。</w:t>
      </w:r>
    </w:p>
    <w:p w14:paraId="71DCE2DC">
      <w:pPr>
        <w:pStyle w:val="50"/>
        <w:numPr>
          <w:ilvl w:val="0"/>
          <w:numId w:val="18"/>
        </w:numPr>
        <w:spacing w:before="312" w:after="312"/>
      </w:pPr>
      <w:r>
        <w:rPr>
          <w:rFonts w:hint="eastAsia"/>
          <w:lang w:val="en-US" w:eastAsia="zh-CN"/>
        </w:rPr>
        <w:t>实验步骤</w:t>
      </w:r>
    </w:p>
    <w:p w14:paraId="775F12B5">
      <w:pPr>
        <w:pStyle w:val="25"/>
        <w:rPr>
          <w:rFonts w:hint="default" w:ascii="宋体" w:hAnsi="宋体" w:eastAsia="宋体" w:cs="宋体"/>
          <w:lang w:val="en-US" w:eastAsia="zh-CN"/>
        </w:rPr>
      </w:pPr>
      <w:r>
        <w:rPr>
          <w:rFonts w:hint="default" w:ascii="宋体" w:hAnsi="宋体" w:eastAsia="宋体" w:cs="宋体"/>
          <w:lang w:val="en-US" w:eastAsia="zh-CN"/>
        </w:rPr>
        <w:t>反应步骤以及反应方法示例：</w:t>
      </w:r>
    </w:p>
    <w:p w14:paraId="3B140CDD">
      <w:pPr>
        <w:pStyle w:val="25"/>
        <w:jc w:val="center"/>
        <w:rPr>
          <w:rFonts w:hint="default" w:ascii="宋体" w:hAnsi="宋体" w:eastAsia="宋体" w:cs="宋体"/>
          <w:lang w:val="en-US" w:eastAsia="zh-CN"/>
        </w:rPr>
      </w:pPr>
      <w:r>
        <w:rPr>
          <w:b/>
          <w:bCs/>
        </w:rPr>
        <w:object>
          <v:shape id="_x0000_i1027" o:spt="75" type="#_x0000_t75" style="height:56.25pt;width:323.25pt;" o:ole="t" filled="f" o:preferrelative="t" stroked="f" coordsize="21600,21600">
            <v:path/>
            <v:fill on="f" focussize="0,0"/>
            <v:stroke on="f"/>
            <v:imagedata r:id="rId13" o:title=""/>
            <o:lock v:ext="edit" aspectratio="f"/>
            <w10:wrap type="none"/>
            <w10:anchorlock/>
          </v:shape>
          <o:OLEObject Type="Embed" ProgID="ChemDraw.Document.6.0" ShapeID="_x0000_i1027" DrawAspect="Content" ObjectID="_1468075727" r:id="rId12">
            <o:LockedField>false</o:LockedField>
          </o:OLEObject>
        </w:object>
      </w:r>
    </w:p>
    <w:p w14:paraId="15266493">
      <w:pPr>
        <w:numPr>
          <w:ilvl w:val="1"/>
          <w:numId w:val="18"/>
        </w:numPr>
        <w:spacing w:before="156" w:beforeLines="50" w:after="156" w:afterLines="50"/>
        <w:ind w:left="0"/>
        <w:outlineLvl w:val="2"/>
        <w:rPr>
          <w:rFonts w:ascii="黑体" w:eastAsia="黑体"/>
          <w:szCs w:val="21"/>
        </w:rPr>
      </w:pPr>
      <w:bookmarkStart w:id="62" w:name="_Toc1904"/>
      <w:bookmarkEnd w:id="62"/>
      <w:bookmarkStart w:id="63" w:name="_Toc10994"/>
      <w:bookmarkEnd w:id="63"/>
      <w:bookmarkStart w:id="64" w:name="_Toc21866"/>
      <w:bookmarkEnd w:id="64"/>
      <w:bookmarkStart w:id="65" w:name="_Toc32080"/>
      <w:bookmarkEnd w:id="65"/>
      <w:r>
        <w:rPr>
          <w:rFonts w:hint="eastAsia" w:ascii="黑体" w:eastAsia="黑体"/>
          <w:szCs w:val="21"/>
          <w:lang w:val="en-US" w:eastAsia="zh-CN"/>
        </w:rPr>
        <w:t>称量化合物</w:t>
      </w:r>
    </w:p>
    <w:p w14:paraId="57454E27">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outlineLvl w:val="3"/>
        <w:rPr>
          <w:rFonts w:hint="eastAsia" w:ascii="Times New Roman" w:hAnsi="Times New Roman" w:cs="Times New Roman"/>
          <w:lang w:eastAsia="zh-CN"/>
        </w:rPr>
      </w:pPr>
      <w:r>
        <w:rPr>
          <w:rFonts w:hint="eastAsia" w:ascii="Times New Roman" w:hAnsi="Times New Roman" w:cs="Times New Roman"/>
          <w:lang w:eastAsia="zh-CN"/>
        </w:rPr>
        <w:t>称量化合物前确保对应好化合物的CAS号以及分子量，计算好需要称量的量，做到不浪费化合物。</w:t>
      </w:r>
    </w:p>
    <w:p w14:paraId="3C0AE0F6">
      <w:pPr>
        <w:numPr>
          <w:ilvl w:val="1"/>
          <w:numId w:val="18"/>
        </w:numPr>
        <w:spacing w:before="156" w:beforeLines="50" w:after="156" w:afterLines="50"/>
        <w:ind w:left="0"/>
        <w:outlineLvl w:val="2"/>
        <w:rPr>
          <w:rFonts w:ascii="黑体" w:eastAsia="黑体"/>
          <w:szCs w:val="21"/>
        </w:rPr>
      </w:pPr>
      <w:r>
        <w:rPr>
          <w:rFonts w:hint="eastAsia" w:ascii="黑体" w:eastAsia="黑体"/>
          <w:szCs w:val="21"/>
          <w:lang w:val="en-US" w:eastAsia="zh-CN"/>
        </w:rPr>
        <w:t>配液</w:t>
      </w:r>
    </w:p>
    <w:p w14:paraId="38586C00">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ascii="Times New Roman" w:hAnsi="Times New Roman" w:cs="Times New Roman"/>
          <w:lang w:eastAsia="zh-CN"/>
        </w:rPr>
        <w:t>用N-N-二甲基乙酰胺将羧酸化合物B、DIPEA、HATU均配成0.1M溶液，用超纯水溶解氨基修饰的DNA配置成1n mol/μL。</w:t>
      </w:r>
    </w:p>
    <w:p w14:paraId="258BAC30">
      <w:pPr>
        <w:numPr>
          <w:ilvl w:val="1"/>
          <w:numId w:val="18"/>
        </w:numPr>
        <w:spacing w:before="156" w:beforeLines="50" w:after="156" w:afterLines="50"/>
        <w:ind w:left="0"/>
        <w:outlineLvl w:val="2"/>
        <w:rPr>
          <w:rFonts w:ascii="黑体" w:eastAsia="黑体"/>
          <w:szCs w:val="21"/>
        </w:rPr>
      </w:pPr>
      <w:r>
        <w:rPr>
          <w:rFonts w:hint="eastAsia" w:ascii="黑体" w:eastAsia="黑体"/>
          <w:szCs w:val="21"/>
          <w:lang w:val="en-US" w:eastAsia="zh-CN"/>
        </w:rPr>
        <w:t>活化</w:t>
      </w:r>
    </w:p>
    <w:p w14:paraId="3757F6F9">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ascii="Times New Roman" w:hAnsi="Times New Roman" w:cs="Times New Roman"/>
          <w:lang w:eastAsia="zh-CN"/>
        </w:rPr>
        <w:t>将0.1M的羧酸化合物B、DIPEA、HATU各取50μL加入离心管，涡旋5分钟。</w:t>
      </w:r>
    </w:p>
    <w:p w14:paraId="565FAEBF">
      <w:pPr>
        <w:numPr>
          <w:ilvl w:val="1"/>
          <w:numId w:val="18"/>
        </w:numPr>
        <w:spacing w:before="156" w:beforeLines="50" w:after="156" w:afterLines="50"/>
        <w:ind w:left="0"/>
        <w:outlineLvl w:val="2"/>
        <w:rPr>
          <w:rFonts w:ascii="黑体" w:eastAsia="黑体"/>
          <w:szCs w:val="21"/>
        </w:rPr>
      </w:pPr>
      <w:r>
        <w:rPr>
          <w:rFonts w:hint="eastAsia" w:ascii="黑体" w:eastAsia="黑体"/>
          <w:szCs w:val="21"/>
          <w:lang w:val="en-US" w:eastAsia="zh-CN"/>
        </w:rPr>
        <w:t>反应</w:t>
      </w:r>
    </w:p>
    <w:p w14:paraId="75FB0B50">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ascii="Times New Roman" w:hAnsi="Times New Roman" w:cs="Times New Roman"/>
          <w:lang w:eastAsia="zh-CN"/>
        </w:rPr>
        <w:t>取150 μL活化混合物加入到50ul 氨基修饰的DNA中，加入100μL 超纯水和100ul 0.5M硼酸钠缓冲液(PH9.4)，室温反应1.5h。</w:t>
      </w:r>
    </w:p>
    <w:p w14:paraId="444A0D45">
      <w:pPr>
        <w:numPr>
          <w:ilvl w:val="1"/>
          <w:numId w:val="18"/>
        </w:numPr>
        <w:spacing w:before="156" w:beforeLines="50" w:after="156" w:afterLines="50"/>
        <w:ind w:left="0"/>
        <w:outlineLvl w:val="2"/>
        <w:rPr>
          <w:rFonts w:ascii="黑体" w:eastAsia="黑体"/>
          <w:szCs w:val="21"/>
        </w:rPr>
      </w:pPr>
      <w:r>
        <w:rPr>
          <w:rFonts w:hint="eastAsia" w:ascii="黑体" w:eastAsia="黑体"/>
          <w:szCs w:val="21"/>
          <w:lang w:val="en-US" w:eastAsia="zh-CN"/>
        </w:rPr>
        <w:t>乙醇沉淀</w:t>
      </w:r>
    </w:p>
    <w:p w14:paraId="3FA66A0D">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ascii="Times New Roman" w:hAnsi="Times New Roman" w:cs="Times New Roman"/>
          <w:lang w:eastAsia="zh-CN"/>
        </w:rPr>
        <w:t>向EP管加入反应液体积10％的5M氯化钠溶液，振荡混匀后，加入总体积3倍的在-20℃储存的冷无水乙醇，于-80℃冰箱冷冻过夜，之后以13500 rpm的转速下离心30分钟，吸除上清液后用冻干机冷冻干燥残余液体。</w:t>
      </w:r>
    </w:p>
    <w:p w14:paraId="785789A9">
      <w:pPr>
        <w:pStyle w:val="50"/>
        <w:numPr>
          <w:ilvl w:val="0"/>
          <w:numId w:val="18"/>
        </w:numPr>
        <w:spacing w:before="312" w:after="312"/>
      </w:pPr>
      <w:r>
        <w:rPr>
          <w:rFonts w:hint="eastAsia"/>
          <w:lang w:val="en-US" w:eastAsia="zh-CN"/>
        </w:rPr>
        <w:t>样品检测</w:t>
      </w:r>
    </w:p>
    <w:p w14:paraId="0EE5C185">
      <w:pPr>
        <w:numPr>
          <w:ilvl w:val="1"/>
          <w:numId w:val="18"/>
        </w:numPr>
        <w:spacing w:before="156" w:beforeLines="50" w:after="156" w:afterLines="50"/>
        <w:ind w:left="0"/>
        <w:outlineLvl w:val="2"/>
        <w:rPr>
          <w:rFonts w:ascii="黑体" w:eastAsia="黑体"/>
          <w:szCs w:val="21"/>
        </w:rPr>
      </w:pPr>
      <w:r>
        <w:rPr>
          <w:rFonts w:hint="eastAsia" w:ascii="黑体" w:eastAsia="黑体"/>
          <w:szCs w:val="21"/>
          <w:lang w:val="en-US" w:eastAsia="zh-CN"/>
        </w:rPr>
        <w:t>HPLC样品准备</w:t>
      </w:r>
    </w:p>
    <w:p w14:paraId="53A020B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cs="Times New Roman"/>
          <w:lang w:eastAsia="zh-CN"/>
        </w:rPr>
      </w:pPr>
      <w:r>
        <w:rPr>
          <w:rFonts w:hint="eastAsia" w:ascii="Times New Roman" w:hAnsi="Times New Roman" w:cs="Times New Roman"/>
          <w:lang w:eastAsia="zh-CN"/>
        </w:rPr>
        <w:t>样品冻干后用250μl的超纯水溶解后，检查样品是否澄清无杂质，若有杂质需过滤，过滤后加入进样小瓶的内插管里，确保样品编号准确无误。</w:t>
      </w:r>
    </w:p>
    <w:p w14:paraId="44CBAC77">
      <w:pPr>
        <w:numPr>
          <w:ilvl w:val="1"/>
          <w:numId w:val="18"/>
        </w:numPr>
        <w:spacing w:before="156" w:beforeLines="50" w:after="156" w:afterLines="50"/>
        <w:ind w:left="0"/>
        <w:outlineLvl w:val="2"/>
        <w:rPr>
          <w:rFonts w:ascii="黑体" w:eastAsia="黑体"/>
          <w:szCs w:val="21"/>
        </w:rPr>
      </w:pPr>
      <w:r>
        <w:rPr>
          <w:rFonts w:hint="eastAsia" w:ascii="黑体" w:eastAsia="黑体"/>
          <w:szCs w:val="21"/>
          <w:lang w:val="en-US" w:eastAsia="zh-CN"/>
        </w:rPr>
        <w:t>HPLC纯化</w:t>
      </w:r>
    </w:p>
    <w:p w14:paraId="4F0277B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cs="Times New Roman"/>
          <w:lang w:eastAsia="zh-CN"/>
        </w:rPr>
      </w:pPr>
      <w:r>
        <w:rPr>
          <w:rFonts w:hint="eastAsia" w:ascii="Times New Roman" w:hAnsi="Times New Roman" w:cs="Times New Roman"/>
          <w:lang w:eastAsia="zh-CN"/>
        </w:rPr>
        <w:t>采用HPLC仪器对样品的纯度进行测定，设备分离条件参考附录A ，确保仪器正常运行后，纯化后确保有HPLC报告图。</w:t>
      </w:r>
    </w:p>
    <w:p w14:paraId="6FE97458">
      <w:pPr>
        <w:numPr>
          <w:ilvl w:val="1"/>
          <w:numId w:val="18"/>
        </w:numPr>
        <w:spacing w:before="156" w:beforeLines="50" w:after="156" w:afterLines="50"/>
        <w:ind w:left="0"/>
        <w:outlineLvl w:val="2"/>
        <w:rPr>
          <w:rFonts w:hint="eastAsia" w:ascii="黑体" w:hAnsi="Times New Roman" w:eastAsia="黑体" w:cs="Times New Roman"/>
          <w:szCs w:val="21"/>
          <w:lang w:val="en-US" w:eastAsia="zh-CN"/>
        </w:rPr>
      </w:pPr>
      <w:r>
        <w:rPr>
          <w:rFonts w:hint="eastAsia" w:ascii="黑体" w:hAnsi="Times New Roman" w:eastAsia="黑体" w:cs="Times New Roman"/>
          <w:szCs w:val="21"/>
          <w:lang w:val="en-US" w:eastAsia="zh-CN"/>
        </w:rPr>
        <w:t>LC-MS样品准备</w:t>
      </w:r>
    </w:p>
    <w:p w14:paraId="5082297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cs="Times New Roman"/>
          <w:lang w:eastAsia="zh-CN"/>
        </w:rPr>
      </w:pPr>
      <w:r>
        <w:rPr>
          <w:rFonts w:hint="eastAsia" w:ascii="Times New Roman" w:hAnsi="Times New Roman" w:cs="Times New Roman"/>
          <w:lang w:eastAsia="zh-CN"/>
        </w:rPr>
        <w:t>将纯化后的HPLC冻干后用超纯水溶解定量，取5 nmol样品进行LC-MS检测。</w:t>
      </w:r>
    </w:p>
    <w:p w14:paraId="4DB3A64C">
      <w:pPr>
        <w:numPr>
          <w:ilvl w:val="1"/>
          <w:numId w:val="18"/>
        </w:numPr>
        <w:spacing w:before="156" w:beforeLines="50" w:after="156" w:afterLines="50"/>
        <w:ind w:left="0"/>
        <w:outlineLvl w:val="2"/>
        <w:rPr>
          <w:rFonts w:hint="eastAsia" w:ascii="黑体" w:hAnsi="Times New Roman" w:eastAsia="黑体" w:cs="Times New Roman"/>
          <w:szCs w:val="21"/>
          <w:lang w:val="en-US" w:eastAsia="zh-CN"/>
        </w:rPr>
      </w:pPr>
      <w:r>
        <w:rPr>
          <w:rFonts w:hint="eastAsia" w:ascii="黑体" w:hAnsi="Times New Roman" w:eastAsia="黑体" w:cs="Times New Roman"/>
          <w:szCs w:val="21"/>
          <w:lang w:val="en-US" w:eastAsia="zh-CN"/>
        </w:rPr>
        <w:t>LC-MS检测-产物定性检测</w:t>
      </w:r>
    </w:p>
    <w:p w14:paraId="313130DC">
      <w:pPr>
        <w:pStyle w:val="2"/>
        <w:rPr>
          <w:rFonts w:hint="eastAsia" w:ascii="Times New Roman" w:hAnsi="Times New Roman" w:cs="Times New Roman"/>
          <w:lang w:eastAsia="zh-CN"/>
        </w:rPr>
      </w:pPr>
      <w:r>
        <w:rPr>
          <w:rFonts w:hint="eastAsia" w:ascii="Times New Roman" w:hAnsi="Times New Roman" w:cs="Times New Roman"/>
          <w:lang w:eastAsia="zh-CN"/>
        </w:rPr>
        <w:t>产物的理论分子量=MW(A)+MW(B)-H2O</w:t>
      </w:r>
    </w:p>
    <w:p w14:paraId="64566B6D">
      <w:pPr>
        <w:pStyle w:val="2"/>
        <w:rPr>
          <w:rFonts w:hint="eastAsia" w:ascii="Times New Roman" w:hAnsi="Times New Roman" w:cs="Times New Roman"/>
          <w:lang w:eastAsia="zh-CN"/>
        </w:rPr>
      </w:pPr>
      <w:r>
        <w:rPr>
          <w:rFonts w:hint="eastAsia" w:ascii="Times New Roman" w:hAnsi="Times New Roman" w:cs="Times New Roman"/>
          <w:lang w:eastAsia="zh-CN"/>
        </w:rPr>
        <w:t>采用LC-MS对样品的相对分子质量（MW）进行检测，设备分离条件参考附录A，测得的相对分子量和计算的理论相对分子量进行比较得出相对误差，且MW偏差±0.05%内，产物结果正确。</w:t>
      </w:r>
    </w:p>
    <w:p w14:paraId="0C34152E">
      <w:pPr>
        <w:numPr>
          <w:ilvl w:val="1"/>
          <w:numId w:val="18"/>
        </w:numPr>
        <w:spacing w:before="156" w:beforeLines="50" w:after="156" w:afterLines="50"/>
        <w:ind w:left="0"/>
        <w:outlineLvl w:val="2"/>
        <w:rPr>
          <w:rFonts w:hint="eastAsia" w:ascii="黑体" w:hAnsi="Times New Roman" w:eastAsia="黑体" w:cs="Times New Roman"/>
          <w:szCs w:val="21"/>
          <w:lang w:val="en-US" w:eastAsia="zh-CN"/>
        </w:rPr>
      </w:pPr>
      <w:r>
        <w:rPr>
          <w:rFonts w:hint="eastAsia" w:ascii="黑体" w:hAnsi="Times New Roman" w:eastAsia="黑体" w:cs="Times New Roman"/>
          <w:szCs w:val="21"/>
          <w:lang w:val="en-US" w:eastAsia="zh-CN"/>
        </w:rPr>
        <w:t>产物纯度检测</w:t>
      </w:r>
    </w:p>
    <w:p w14:paraId="61292E90">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ascii="黑体" w:eastAsia="黑体"/>
          <w:szCs w:val="21"/>
          <w:highlight w:val="none"/>
        </w:rPr>
      </w:pPr>
    </w:p>
    <w:p w14:paraId="44F63D4C">
      <w:pPr>
        <w:spacing w:before="156" w:beforeLines="50" w:after="156" w:afterLines="50"/>
        <w:ind w:firstLine="420" w:firstLineChars="200"/>
        <w:outlineLvl w:val="2"/>
        <w:rPr>
          <w:rFonts w:ascii="黑体" w:hAnsi="黑体" w:eastAsia="黑体"/>
          <w:szCs w:val="21"/>
          <w:highlight w:val="none"/>
        </w:rPr>
      </w:pPr>
      <w:r>
        <w:rPr>
          <w:rFonts w:hint="eastAsia" w:ascii="黑体" w:hAnsi="黑体" w:eastAsia="黑体"/>
          <w:highlight w:val="none"/>
        </w:rPr>
        <w:t>高效液相色谱法</w:t>
      </w:r>
    </w:p>
    <w:p w14:paraId="2198204F">
      <w:pPr>
        <w:pStyle w:val="25"/>
        <w:rPr>
          <w:rFonts w:hint="eastAsia"/>
        </w:rPr>
      </w:pPr>
      <w:r>
        <w:rPr>
          <w:rFonts w:hint="eastAsia"/>
        </w:rPr>
        <w:t>按照GB/T 39512-2020执行。</w:t>
      </w:r>
    </w:p>
    <w:p w14:paraId="5A79FFED">
      <w:pPr>
        <w:pStyle w:val="25"/>
        <w:rPr>
          <w:rFonts w:hint="eastAsia"/>
          <w:highlight w:val="none"/>
        </w:rPr>
      </w:pPr>
      <w:r>
        <w:rPr>
          <w:rFonts w:hint="eastAsia"/>
        </w:rPr>
        <w:t>采用HPLC对产物核酸的纯度进行测定，设备运行参考附录A.根据检测结果计算目标峰面积占所有峰面积的比值，得出产物核酸的纯度。</w:t>
      </w:r>
    </w:p>
    <w:p w14:paraId="2DD0AD85">
      <w:pPr>
        <w:keepNext w:val="0"/>
        <w:keepLines w:val="0"/>
        <w:pageBreakBefore w:val="0"/>
        <w:widowControl w:val="0"/>
        <w:numPr>
          <w:ilvl w:val="2"/>
          <w:numId w:val="18"/>
        </w:numPr>
        <w:kinsoku/>
        <w:wordWrap/>
        <w:overflowPunct/>
        <w:topLinePunct w:val="0"/>
        <w:autoSpaceDE/>
        <w:autoSpaceDN/>
        <w:bidi w:val="0"/>
        <w:adjustRightInd/>
        <w:snapToGrid/>
        <w:spacing w:before="157" w:beforeLines="50" w:after="157" w:afterLines="50"/>
        <w:textAlignment w:val="auto"/>
        <w:outlineLvl w:val="3"/>
        <w:rPr>
          <w:rFonts w:ascii="黑体" w:eastAsia="黑体"/>
          <w:szCs w:val="21"/>
          <w:highlight w:val="none"/>
        </w:rPr>
      </w:pPr>
    </w:p>
    <w:p w14:paraId="15438560">
      <w:pPr>
        <w:spacing w:before="156" w:beforeLines="50" w:after="156" w:afterLines="50"/>
        <w:ind w:firstLine="420" w:firstLineChars="200"/>
        <w:outlineLvl w:val="2"/>
        <w:rPr>
          <w:rFonts w:ascii="黑体" w:hAnsi="黑体" w:eastAsia="黑体"/>
          <w:szCs w:val="21"/>
          <w:highlight w:val="none"/>
        </w:rPr>
      </w:pPr>
      <w:r>
        <w:rPr>
          <w:rFonts w:hint="eastAsia" w:ascii="黑体" w:hAnsi="黑体" w:eastAsia="黑体"/>
          <w:highlight w:val="none"/>
        </w:rPr>
        <w:t>液相色谱质谱法</w:t>
      </w:r>
    </w:p>
    <w:p w14:paraId="4959EF88">
      <w:pPr>
        <w:pStyle w:val="25"/>
        <w:rPr>
          <w:rFonts w:hint="eastAsia"/>
          <w:highlight w:val="none"/>
        </w:rPr>
      </w:pPr>
      <w:r>
        <w:rPr>
          <w:rFonts w:hint="eastAsia"/>
        </w:rPr>
        <w:t>计算目标峰质谱信号的强度占所有峰质谱信号强度的比值得出产物核酸的纯度。</w:t>
      </w:r>
    </w:p>
    <w:p w14:paraId="239494BE">
      <w:pPr>
        <w:numPr>
          <w:ilvl w:val="1"/>
          <w:numId w:val="18"/>
        </w:numPr>
        <w:spacing w:before="156" w:beforeLines="50" w:after="156" w:afterLines="50"/>
        <w:ind w:left="0"/>
        <w:outlineLvl w:val="2"/>
        <w:rPr>
          <w:rFonts w:hint="eastAsia" w:ascii="黑体" w:hAnsi="Times New Roman" w:eastAsia="黑体" w:cs="Times New Roman"/>
          <w:szCs w:val="21"/>
          <w:lang w:val="en-US" w:eastAsia="zh-CN"/>
        </w:rPr>
      </w:pPr>
      <w:r>
        <w:rPr>
          <w:rFonts w:hint="eastAsia" w:ascii="黑体" w:hAnsi="Times New Roman" w:eastAsia="黑体" w:cs="Times New Roman"/>
          <w:szCs w:val="21"/>
          <w:lang w:val="en-US" w:eastAsia="zh-CN"/>
        </w:rPr>
        <w:t>产物总量检测及反应转化率检测</w:t>
      </w:r>
      <w:r>
        <w:rPr>
          <w:rFonts w:hint="eastAsia" w:ascii="黑体" w:eastAsia="黑体" w:cs="Times New Roman"/>
          <w:szCs w:val="21"/>
          <w:lang w:val="en-US" w:eastAsia="zh-CN"/>
        </w:rPr>
        <w:t>（紫外分光光度法）</w:t>
      </w:r>
    </w:p>
    <w:p w14:paraId="282F305F">
      <w:pPr>
        <w:pStyle w:val="3"/>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Times New Roman" w:eastAsia="宋体" w:cs="Times New Roman"/>
          <w:sz w:val="21"/>
          <w:szCs w:val="20"/>
          <w:lang w:val="en-US" w:eastAsia="zh-CN" w:bidi="ar-SA"/>
        </w:rPr>
      </w:pPr>
      <w:r>
        <w:rPr>
          <w:rFonts w:hint="eastAsia" w:ascii="宋体" w:hAnsi="Times New Roman" w:eastAsia="宋体" w:cs="Times New Roman"/>
          <w:sz w:val="21"/>
          <w:szCs w:val="20"/>
          <w:lang w:val="en-US" w:eastAsia="zh-CN" w:bidi="ar-SA"/>
        </w:rPr>
        <w:t>按照GB/T30988执行。</w:t>
      </w:r>
    </w:p>
    <w:p w14:paraId="2043238D">
      <w:pPr>
        <w:pStyle w:val="3"/>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Times New Roman" w:eastAsia="宋体" w:cs="Times New Roman"/>
          <w:sz w:val="21"/>
          <w:szCs w:val="20"/>
          <w:lang w:val="en-US" w:eastAsia="zh-CN" w:bidi="ar-SA"/>
        </w:rPr>
      </w:pPr>
      <w:r>
        <w:rPr>
          <w:rFonts w:hint="eastAsia" w:ascii="宋体" w:hAnsi="Times New Roman" w:eastAsia="宋体" w:cs="Times New Roman"/>
          <w:sz w:val="21"/>
          <w:szCs w:val="20"/>
          <w:lang w:val="en-US" w:eastAsia="zh-CN" w:bidi="ar-SA"/>
        </w:rPr>
        <w:t>采用紫外分光光度法对产物核酸进行紫外吸收强度检测，测得核酸在260nm处的吸收强度即OD260数值，测得的OD260数值乘以稀释倍数作为最终定量的OD260数值，用OD260数值除以消光系数转换为样品浓度。样品浓度乘以体积可得出样品总量。</w:t>
      </w:r>
    </w:p>
    <w:p w14:paraId="08ED14BA">
      <w:pPr>
        <w:pStyle w:val="3"/>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Times New Roman" w:eastAsia="宋体" w:cs="Times New Roman"/>
          <w:sz w:val="21"/>
          <w:szCs w:val="20"/>
          <w:lang w:val="en-US" w:eastAsia="zh-CN" w:bidi="ar-SA"/>
        </w:rPr>
      </w:pPr>
      <w:r>
        <w:rPr>
          <w:rFonts w:hint="eastAsia" w:ascii="宋体" w:hAnsi="Times New Roman" w:eastAsia="宋体" w:cs="Times New Roman"/>
          <w:sz w:val="21"/>
          <w:szCs w:val="20"/>
          <w:lang w:val="en-US" w:eastAsia="zh-CN" w:bidi="ar-SA"/>
        </w:rPr>
        <w:t>转化率=产物样品总量/on-DNA底物量*100%</w:t>
      </w:r>
    </w:p>
    <w:p w14:paraId="044A8E89">
      <w:pPr>
        <w:pStyle w:val="50"/>
        <w:numPr>
          <w:ilvl w:val="0"/>
          <w:numId w:val="18"/>
        </w:numPr>
        <w:spacing w:before="312" w:after="312"/>
      </w:pPr>
      <w:r>
        <w:rPr>
          <w:rFonts w:hint="eastAsia"/>
          <w:lang w:val="en-US" w:eastAsia="zh-CN"/>
        </w:rPr>
        <w:t>样品保存</w:t>
      </w:r>
    </w:p>
    <w:p w14:paraId="601348BB">
      <w:pPr>
        <w:pStyle w:val="25"/>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检测完成后将样品冻干后贮存于-20℃的冰箱，避免反复冻融。稀释后的样品-20℃不宜超过半年。</w:t>
      </w:r>
    </w:p>
    <w:p w14:paraId="12C0D19C">
      <w:pPr>
        <w:pStyle w:val="25"/>
        <w:rPr>
          <w:rFonts w:hint="eastAsia" w:ascii="宋体" w:hAnsi="宋体" w:eastAsia="宋体" w:cs="宋体"/>
          <w:color w:val="000000"/>
          <w:kern w:val="2"/>
          <w:sz w:val="21"/>
          <w:szCs w:val="21"/>
          <w:highlight w:val="none"/>
          <w:lang w:val="en-US" w:eastAsia="zh-CN" w:bidi="ar-SA"/>
        </w:rPr>
        <w:sectPr>
          <w:pgSz w:w="11906" w:h="16838"/>
          <w:pgMar w:top="567" w:right="1134" w:bottom="1134" w:left="1418" w:header="1418" w:footer="1134" w:gutter="0"/>
          <w:pgNumType w:start="1"/>
          <w:cols w:space="425" w:num="1"/>
          <w:formProt w:val="0"/>
          <w:docGrid w:type="lines" w:linePitch="312" w:charSpace="0"/>
        </w:sectPr>
      </w:pPr>
      <w:r>
        <w:rPr>
          <w:rFonts w:hint="eastAsia" w:ascii="宋体" w:hAnsi="宋体" w:eastAsia="宋体" w:cs="宋体"/>
          <w:color w:val="000000"/>
          <w:kern w:val="2"/>
          <w:sz w:val="21"/>
          <w:szCs w:val="21"/>
          <w:highlight w:val="none"/>
          <w:lang w:val="en-US" w:eastAsia="zh-CN" w:bidi="ar-SA"/>
        </w:rPr>
        <w:t>其他酰胺缩合反应条件均可用于构建DNA编码化20合物库的On-DNA的酰胺化反应。</w:t>
      </w:r>
    </w:p>
    <w:p w14:paraId="3435EEE1">
      <w:pPr>
        <w:pStyle w:val="89"/>
        <w:rPr>
          <w:rFonts w:ascii="黑体"/>
          <w:sz w:val="21"/>
          <w:szCs w:val="21"/>
        </w:rPr>
      </w:pPr>
      <w:bookmarkStart w:id="66" w:name="_bookmark28"/>
      <w:bookmarkEnd w:id="66"/>
      <w:bookmarkStart w:id="67" w:name="_Toc10954"/>
      <w:bookmarkStart w:id="68" w:name="_Toc26653"/>
      <w:r>
        <w:rPr>
          <w:sz w:val="21"/>
          <w:szCs w:val="21"/>
        </w:rPr>
        <w:br w:type="textWrapping"/>
      </w:r>
      <w:bookmarkStart w:id="69" w:name="_Toc18653013"/>
      <w:bookmarkStart w:id="70" w:name="_Toc48565849"/>
      <w:bookmarkStart w:id="71" w:name="_Toc33264504"/>
      <w:r>
        <w:rPr>
          <w:rFonts w:hint="eastAsia"/>
          <w:sz w:val="21"/>
          <w:szCs w:val="21"/>
        </w:rPr>
        <w:t>（</w:t>
      </w:r>
      <w:r>
        <w:rPr>
          <w:rFonts w:hint="eastAsia"/>
          <w:sz w:val="21"/>
          <w:szCs w:val="21"/>
          <w:lang w:val="en-US" w:eastAsia="zh-CN"/>
        </w:rPr>
        <w:t>资料</w:t>
      </w:r>
      <w:r>
        <w:rPr>
          <w:rFonts w:hint="eastAsia"/>
          <w:sz w:val="21"/>
          <w:szCs w:val="21"/>
        </w:rPr>
        <w:t>性附录）</w:t>
      </w:r>
      <w:bookmarkEnd w:id="67"/>
      <w:bookmarkEnd w:id="68"/>
      <w:bookmarkEnd w:id="69"/>
      <w:bookmarkEnd w:id="70"/>
      <w:bookmarkEnd w:id="71"/>
    </w:p>
    <w:p w14:paraId="1F4BBD1F">
      <w:pPr>
        <w:pStyle w:val="153"/>
        <w:keepNext w:val="0"/>
        <w:keepLines w:val="0"/>
        <w:pageBreakBefore w:val="0"/>
        <w:widowControl w:val="0"/>
        <w:tabs>
          <w:tab w:val="left" w:pos="704"/>
          <w:tab w:val="left" w:pos="705"/>
        </w:tabs>
        <w:kinsoku/>
        <w:wordWrap/>
        <w:overflowPunct/>
        <w:topLinePunct w:val="0"/>
        <w:autoSpaceDE w:val="0"/>
        <w:autoSpaceDN w:val="0"/>
        <w:bidi w:val="0"/>
        <w:adjustRightInd/>
        <w:snapToGrid/>
        <w:spacing w:before="300" w:beforeLines="100" w:after="300" w:afterLines="100" w:line="240" w:lineRule="auto"/>
        <w:ind w:left="0" w:firstLine="0" w:firstLineChars="0"/>
        <w:jc w:val="left"/>
        <w:textAlignment w:val="auto"/>
        <w:rPr>
          <w:rFonts w:ascii="黑体" w:hAnsi="黑体" w:eastAsia="黑体" w:cs="黑体"/>
          <w:spacing w:val="-3"/>
          <w:kern w:val="0"/>
          <w:sz w:val="21"/>
          <w:szCs w:val="21"/>
          <w:lang w:val="zh-CN" w:bidi="zh-CN"/>
        </w:rPr>
      </w:pPr>
      <w:bookmarkStart w:id="72" w:name="_bookmark29"/>
      <w:bookmarkEnd w:id="72"/>
      <w:r>
        <w:rPr>
          <w:rFonts w:hint="eastAsia" w:ascii="黑体" w:hAnsi="黑体" w:eastAsia="黑体" w:cs="黑体"/>
          <w:spacing w:val="-3"/>
          <w:kern w:val="0"/>
          <w:sz w:val="21"/>
          <w:szCs w:val="21"/>
          <w:lang w:val="zh-CN" w:bidi="zh-CN"/>
        </w:rPr>
        <w:t>A.1</w:t>
      </w:r>
      <w:r>
        <w:rPr>
          <w:rFonts w:hint="eastAsia" w:ascii="黑体" w:hAnsi="黑体" w:eastAsia="黑体" w:cs="黑体"/>
          <w:spacing w:val="-3"/>
          <w:kern w:val="0"/>
          <w:sz w:val="21"/>
          <w:szCs w:val="21"/>
          <w:lang w:val="en-US" w:bidi="zh-CN"/>
        </w:rPr>
        <w:t xml:space="preserve">  </w:t>
      </w:r>
      <w:r>
        <w:rPr>
          <w:rFonts w:hint="eastAsia" w:ascii="黑体" w:hAnsi="黑体" w:eastAsia="黑体" w:cs="黑体"/>
          <w:spacing w:val="-3"/>
          <w:kern w:val="0"/>
          <w:sz w:val="21"/>
          <w:szCs w:val="21"/>
          <w:lang w:val="zh-CN" w:bidi="zh-CN"/>
        </w:rPr>
        <w:t>HPLC分离条件（参照GB/T</w:t>
      </w:r>
      <w:r>
        <w:rPr>
          <w:rFonts w:hint="eastAsia" w:ascii="黑体" w:hAnsi="黑体" w:eastAsia="黑体" w:cs="黑体"/>
          <w:spacing w:val="-3"/>
          <w:kern w:val="0"/>
          <w:sz w:val="21"/>
          <w:szCs w:val="21"/>
          <w:lang w:val="en-US" w:bidi="zh-CN"/>
        </w:rPr>
        <w:t xml:space="preserve"> </w:t>
      </w:r>
      <w:r>
        <w:rPr>
          <w:rFonts w:hint="eastAsia" w:ascii="黑体" w:hAnsi="黑体" w:eastAsia="黑体" w:cs="黑体"/>
          <w:spacing w:val="-3"/>
          <w:kern w:val="0"/>
          <w:sz w:val="21"/>
          <w:szCs w:val="21"/>
          <w:lang w:val="zh-CN" w:bidi="zh-CN"/>
        </w:rPr>
        <w:t>39512-2020）</w:t>
      </w:r>
    </w:p>
    <w:p w14:paraId="09A31B57">
      <w:pPr>
        <w:keepLines w:val="0"/>
        <w:kinsoku/>
        <w:wordWrap/>
        <w:overflowPunct/>
        <w:topLinePunct w:val="0"/>
        <w:bidi w:val="0"/>
        <w:snapToGrid/>
        <w:spacing w:line="240" w:lineRule="auto"/>
        <w:textAlignment w:val="auto"/>
        <w:rPr>
          <w:rFonts w:ascii="Times New Roman" w:hAnsi="Times New Roman" w:cs="Times New Roman"/>
          <w:sz w:val="21"/>
          <w:szCs w:val="21"/>
        </w:rPr>
      </w:pPr>
      <w:r>
        <w:rPr>
          <w:rFonts w:ascii="黑体" w:hAnsi="黑体" w:eastAsia="黑体" w:cs="黑体"/>
          <w:spacing w:val="-2"/>
          <w:sz w:val="21"/>
          <w:szCs w:val="21"/>
        </w:rPr>
        <w:t>A.</w:t>
      </w:r>
      <w:r>
        <w:rPr>
          <w:rFonts w:hint="eastAsia" w:ascii="黑体" w:hAnsi="黑体" w:eastAsia="黑体" w:cs="黑体"/>
          <w:spacing w:val="-2"/>
          <w:sz w:val="21"/>
          <w:szCs w:val="21"/>
          <w:lang w:val="en-US" w:eastAsia="zh-CN"/>
        </w:rPr>
        <w:t>1</w:t>
      </w:r>
      <w:r>
        <w:rPr>
          <w:rFonts w:ascii="黑体" w:hAnsi="黑体" w:eastAsia="黑体" w:cs="黑体"/>
          <w:spacing w:val="-2"/>
          <w:sz w:val="21"/>
          <w:szCs w:val="21"/>
        </w:rPr>
        <w:t>.1</w:t>
      </w:r>
      <w:r>
        <w:rPr>
          <w:snapToGrid w:val="0"/>
          <w:color w:val="000000"/>
          <w:spacing w:val="-2"/>
          <w:sz w:val="21"/>
          <w:szCs w:val="21"/>
        </w:rPr>
        <w:t xml:space="preserve"> </w:t>
      </w:r>
      <w:r>
        <w:rPr>
          <w:rFonts w:hint="eastAsia"/>
          <w:snapToGrid w:val="0"/>
          <w:color w:val="000000"/>
          <w:spacing w:val="-2"/>
          <w:sz w:val="21"/>
          <w:szCs w:val="21"/>
        </w:rPr>
        <w:t>色谱柱：C18 Horizon，5µm，4.6mm×250mm；</w:t>
      </w:r>
    </w:p>
    <w:p w14:paraId="27F55C9E">
      <w:pPr>
        <w:keepLines w:val="0"/>
        <w:kinsoku/>
        <w:wordWrap/>
        <w:overflowPunct/>
        <w:topLinePunct w:val="0"/>
        <w:bidi w:val="0"/>
        <w:snapToGrid/>
        <w:spacing w:line="240" w:lineRule="auto"/>
        <w:textAlignment w:val="auto"/>
        <w:rPr>
          <w:rFonts w:hint="eastAsia" w:ascii="Times New Roman" w:hAnsi="Times New Roman" w:cs="Times New Roman"/>
          <w:sz w:val="21"/>
          <w:szCs w:val="21"/>
        </w:rPr>
      </w:pPr>
      <w:r>
        <w:rPr>
          <w:rFonts w:ascii="黑体" w:hAnsi="黑体" w:eastAsia="黑体" w:cs="黑体"/>
          <w:spacing w:val="-2"/>
          <w:sz w:val="21"/>
          <w:szCs w:val="21"/>
        </w:rPr>
        <w:t>A.</w:t>
      </w:r>
      <w:r>
        <w:rPr>
          <w:rFonts w:hint="eastAsia" w:ascii="黑体" w:hAnsi="黑体" w:eastAsia="黑体" w:cs="黑体"/>
          <w:spacing w:val="-2"/>
          <w:sz w:val="21"/>
          <w:szCs w:val="21"/>
          <w:lang w:val="en-US" w:eastAsia="zh-CN"/>
        </w:rPr>
        <w:t>1</w:t>
      </w:r>
      <w:r>
        <w:rPr>
          <w:rFonts w:ascii="黑体" w:hAnsi="黑体" w:eastAsia="黑体" w:cs="黑体"/>
          <w:spacing w:val="-2"/>
          <w:sz w:val="21"/>
          <w:szCs w:val="21"/>
        </w:rPr>
        <w:t>.</w:t>
      </w:r>
      <w:r>
        <w:rPr>
          <w:rFonts w:hint="eastAsia" w:ascii="黑体" w:hAnsi="黑体" w:eastAsia="黑体" w:cs="黑体"/>
          <w:spacing w:val="-2"/>
          <w:sz w:val="21"/>
          <w:szCs w:val="21"/>
          <w:lang w:val="en-US"/>
        </w:rPr>
        <w:t>2</w:t>
      </w:r>
      <w:r>
        <w:rPr>
          <w:rFonts w:hint="eastAsia" w:ascii="黑体" w:hAnsi="黑体" w:eastAsia="黑体" w:cs="黑体"/>
          <w:spacing w:val="-2"/>
          <w:sz w:val="21"/>
          <w:szCs w:val="21"/>
          <w:lang w:val="en-US" w:eastAsia="zh-CN"/>
        </w:rPr>
        <w:t xml:space="preserve"> </w:t>
      </w:r>
      <w:r>
        <w:rPr>
          <w:rFonts w:hint="eastAsia" w:ascii="Times New Roman" w:hAnsi="Times New Roman" w:cs="Times New Roman"/>
          <w:sz w:val="21"/>
          <w:szCs w:val="21"/>
        </w:rPr>
        <w:t>流动相A:0.1mol/L TEAA；流动相B：乙腈；</w:t>
      </w:r>
    </w:p>
    <w:p w14:paraId="387CD46B">
      <w:pPr>
        <w:keepLines w:val="0"/>
        <w:kinsoku/>
        <w:wordWrap/>
        <w:overflowPunct/>
        <w:topLinePunct w:val="0"/>
        <w:bidi w:val="0"/>
        <w:snapToGrid/>
        <w:spacing w:line="240" w:lineRule="auto"/>
        <w:textAlignment w:val="auto"/>
        <w:rPr>
          <w:rFonts w:ascii="Times New Roman" w:hAnsi="Times New Roman" w:cs="Times New Roman"/>
          <w:sz w:val="21"/>
          <w:szCs w:val="21"/>
        </w:rPr>
      </w:pPr>
      <w:r>
        <w:rPr>
          <w:rFonts w:ascii="黑体" w:hAnsi="黑体" w:eastAsia="黑体" w:cs="黑体"/>
          <w:spacing w:val="-2"/>
          <w:sz w:val="21"/>
          <w:szCs w:val="21"/>
        </w:rPr>
        <w:t>A.</w:t>
      </w:r>
      <w:r>
        <w:rPr>
          <w:rFonts w:hint="eastAsia" w:ascii="黑体" w:hAnsi="黑体" w:eastAsia="黑体" w:cs="黑体"/>
          <w:spacing w:val="-2"/>
          <w:sz w:val="21"/>
          <w:szCs w:val="21"/>
          <w:lang w:val="en-US" w:eastAsia="zh-CN"/>
        </w:rPr>
        <w:t>1</w:t>
      </w:r>
      <w:r>
        <w:rPr>
          <w:rFonts w:ascii="黑体" w:hAnsi="黑体" w:eastAsia="黑体" w:cs="黑体"/>
          <w:spacing w:val="-2"/>
          <w:sz w:val="21"/>
          <w:szCs w:val="21"/>
        </w:rPr>
        <w:t>.</w:t>
      </w:r>
      <w:r>
        <w:rPr>
          <w:rFonts w:hint="eastAsia" w:ascii="黑体" w:hAnsi="黑体" w:eastAsia="黑体" w:cs="黑体"/>
          <w:spacing w:val="-2"/>
          <w:sz w:val="21"/>
          <w:szCs w:val="21"/>
          <w:lang w:val="en-US" w:eastAsia="zh-CN"/>
        </w:rPr>
        <w:t>3</w:t>
      </w:r>
      <w:r>
        <w:rPr>
          <w:snapToGrid w:val="0"/>
          <w:color w:val="000000"/>
          <w:spacing w:val="-2"/>
          <w:sz w:val="21"/>
          <w:szCs w:val="21"/>
        </w:rPr>
        <w:t xml:space="preserve"> </w:t>
      </w:r>
      <w:r>
        <w:rPr>
          <w:rFonts w:hint="eastAsia"/>
          <w:snapToGrid w:val="0"/>
          <w:color w:val="000000"/>
          <w:spacing w:val="-2"/>
          <w:sz w:val="21"/>
          <w:szCs w:val="21"/>
        </w:rPr>
        <w:t>检测器：紫外检测器；</w:t>
      </w:r>
    </w:p>
    <w:p w14:paraId="1D2BB41E">
      <w:pPr>
        <w:keepLines w:val="0"/>
        <w:kinsoku/>
        <w:wordWrap/>
        <w:overflowPunct/>
        <w:topLinePunct w:val="0"/>
        <w:bidi w:val="0"/>
        <w:snapToGrid/>
        <w:spacing w:line="240" w:lineRule="auto"/>
        <w:textAlignment w:val="auto"/>
        <w:rPr>
          <w:rFonts w:ascii="Times New Roman" w:hAnsi="Times New Roman" w:cs="Times New Roman"/>
          <w:sz w:val="21"/>
          <w:szCs w:val="21"/>
        </w:rPr>
      </w:pPr>
      <w:r>
        <w:rPr>
          <w:rFonts w:ascii="黑体" w:hAnsi="黑体" w:eastAsia="黑体" w:cs="黑体"/>
          <w:spacing w:val="-2"/>
          <w:sz w:val="21"/>
          <w:szCs w:val="21"/>
        </w:rPr>
        <w:t>A.</w:t>
      </w:r>
      <w:r>
        <w:rPr>
          <w:rFonts w:hint="eastAsia" w:ascii="黑体" w:hAnsi="黑体" w:eastAsia="黑体" w:cs="黑体"/>
          <w:spacing w:val="-2"/>
          <w:sz w:val="21"/>
          <w:szCs w:val="21"/>
          <w:lang w:val="en-US" w:eastAsia="zh-CN"/>
        </w:rPr>
        <w:t>1</w:t>
      </w:r>
      <w:r>
        <w:rPr>
          <w:rFonts w:ascii="黑体" w:hAnsi="黑体" w:eastAsia="黑体" w:cs="黑体"/>
          <w:spacing w:val="-2"/>
          <w:sz w:val="21"/>
          <w:szCs w:val="21"/>
        </w:rPr>
        <w:t>.</w:t>
      </w:r>
      <w:r>
        <w:rPr>
          <w:rFonts w:hint="eastAsia" w:ascii="黑体" w:hAnsi="黑体" w:eastAsia="黑体" w:cs="黑体"/>
          <w:spacing w:val="-2"/>
          <w:sz w:val="21"/>
          <w:szCs w:val="21"/>
          <w:lang w:val="en-US" w:eastAsia="zh-CN"/>
        </w:rPr>
        <w:t xml:space="preserve">4 </w:t>
      </w:r>
      <w:r>
        <w:rPr>
          <w:rFonts w:hint="eastAsia" w:ascii="Times New Roman" w:hAnsi="Times New Roman" w:cs="Times New Roman"/>
          <w:sz w:val="21"/>
          <w:szCs w:val="21"/>
        </w:rPr>
        <w:t>检测波长：260nm、280nm；</w:t>
      </w:r>
    </w:p>
    <w:p w14:paraId="4A38BEFF">
      <w:pPr>
        <w:keepLines w:val="0"/>
        <w:kinsoku/>
        <w:wordWrap/>
        <w:overflowPunct/>
        <w:topLinePunct w:val="0"/>
        <w:bidi w:val="0"/>
        <w:snapToGrid/>
        <w:spacing w:line="240" w:lineRule="auto"/>
        <w:textAlignment w:val="auto"/>
        <w:rPr>
          <w:rFonts w:ascii="Times New Roman" w:hAnsi="Times New Roman" w:cs="Times New Roman"/>
          <w:sz w:val="21"/>
          <w:szCs w:val="21"/>
        </w:rPr>
      </w:pPr>
      <w:r>
        <w:rPr>
          <w:rFonts w:ascii="黑体" w:hAnsi="黑体" w:eastAsia="黑体" w:cs="黑体"/>
          <w:spacing w:val="-2"/>
          <w:sz w:val="21"/>
          <w:szCs w:val="21"/>
        </w:rPr>
        <w:t>A.</w:t>
      </w:r>
      <w:r>
        <w:rPr>
          <w:rFonts w:hint="eastAsia" w:ascii="黑体" w:hAnsi="黑体" w:eastAsia="黑体" w:cs="黑体"/>
          <w:spacing w:val="-2"/>
          <w:sz w:val="21"/>
          <w:szCs w:val="21"/>
          <w:lang w:val="en-US" w:eastAsia="zh-CN"/>
        </w:rPr>
        <w:t>1</w:t>
      </w:r>
      <w:r>
        <w:rPr>
          <w:rFonts w:ascii="黑体" w:hAnsi="黑体" w:eastAsia="黑体" w:cs="黑体"/>
          <w:spacing w:val="-2"/>
          <w:sz w:val="21"/>
          <w:szCs w:val="21"/>
        </w:rPr>
        <w:t>.</w:t>
      </w:r>
      <w:r>
        <w:rPr>
          <w:rFonts w:hint="eastAsia" w:ascii="黑体" w:hAnsi="黑体" w:eastAsia="黑体" w:cs="黑体"/>
          <w:spacing w:val="-2"/>
          <w:sz w:val="21"/>
          <w:szCs w:val="21"/>
          <w:lang w:val="en-US" w:eastAsia="zh-CN"/>
        </w:rPr>
        <w:t xml:space="preserve">5 </w:t>
      </w:r>
      <w:r>
        <w:rPr>
          <w:rFonts w:hint="eastAsia" w:ascii="Times New Roman" w:hAnsi="Times New Roman" w:cs="Times New Roman"/>
          <w:sz w:val="21"/>
          <w:szCs w:val="21"/>
        </w:rPr>
        <w:t>流速：1.0mL/min；</w:t>
      </w:r>
    </w:p>
    <w:p w14:paraId="3496FFE0">
      <w:pPr>
        <w:keepLines w:val="0"/>
        <w:kinsoku/>
        <w:wordWrap/>
        <w:overflowPunct/>
        <w:topLinePunct w:val="0"/>
        <w:bidi w:val="0"/>
        <w:snapToGrid/>
        <w:spacing w:line="240" w:lineRule="auto"/>
        <w:textAlignment w:val="auto"/>
        <w:rPr>
          <w:rFonts w:ascii="Times New Roman" w:hAnsi="Times New Roman" w:cs="Times New Roman"/>
          <w:sz w:val="21"/>
          <w:szCs w:val="21"/>
        </w:rPr>
      </w:pPr>
      <w:r>
        <w:rPr>
          <w:rFonts w:ascii="黑体" w:hAnsi="黑体" w:eastAsia="黑体" w:cs="黑体"/>
          <w:spacing w:val="-2"/>
          <w:sz w:val="21"/>
          <w:szCs w:val="21"/>
        </w:rPr>
        <w:t>A.</w:t>
      </w:r>
      <w:r>
        <w:rPr>
          <w:rFonts w:hint="eastAsia" w:ascii="黑体" w:hAnsi="黑体" w:eastAsia="黑体" w:cs="黑体"/>
          <w:spacing w:val="-2"/>
          <w:sz w:val="21"/>
          <w:szCs w:val="21"/>
          <w:lang w:val="en-US" w:eastAsia="zh-CN"/>
        </w:rPr>
        <w:t>1</w:t>
      </w:r>
      <w:r>
        <w:rPr>
          <w:rFonts w:ascii="黑体" w:hAnsi="黑体" w:eastAsia="黑体" w:cs="黑体"/>
          <w:spacing w:val="-2"/>
          <w:sz w:val="21"/>
          <w:szCs w:val="21"/>
        </w:rPr>
        <w:t>.</w:t>
      </w:r>
      <w:r>
        <w:rPr>
          <w:rFonts w:hint="eastAsia" w:ascii="黑体" w:hAnsi="黑体" w:eastAsia="黑体" w:cs="黑体"/>
          <w:spacing w:val="-2"/>
          <w:sz w:val="21"/>
          <w:szCs w:val="21"/>
          <w:lang w:val="en-US" w:eastAsia="zh-CN"/>
        </w:rPr>
        <w:t xml:space="preserve">6 </w:t>
      </w:r>
      <w:r>
        <w:rPr>
          <w:rFonts w:hint="eastAsia" w:ascii="Times New Roman" w:hAnsi="Times New Roman" w:cs="Times New Roman"/>
          <w:sz w:val="21"/>
          <w:szCs w:val="21"/>
        </w:rPr>
        <w:t>梯度洗脱参见表A</w:t>
      </w:r>
      <w:r>
        <w:rPr>
          <w:rFonts w:hint="eastAsia" w:cs="Times New Roman"/>
          <w:sz w:val="21"/>
          <w:szCs w:val="21"/>
          <w:lang w:val="en-US" w:eastAsia="zh-CN"/>
        </w:rPr>
        <w:t>.</w:t>
      </w:r>
      <w:r>
        <w:rPr>
          <w:rFonts w:hint="eastAsia" w:ascii="Times New Roman" w:hAnsi="Times New Roman" w:cs="Times New Roman"/>
          <w:sz w:val="21"/>
          <w:szCs w:val="21"/>
        </w:rPr>
        <w:t>1。</w:t>
      </w:r>
    </w:p>
    <w:p w14:paraId="2424F8D4">
      <w:pPr>
        <w:jc w:val="center"/>
      </w:pPr>
      <w:r>
        <w:rPr>
          <w:rFonts w:hint="eastAsia"/>
        </w:rPr>
        <w:t>表A</w:t>
      </w:r>
      <w:r>
        <w:rPr>
          <w:rFonts w:hint="eastAsia"/>
          <w:lang w:val="en-US" w:eastAsia="zh-CN"/>
        </w:rPr>
        <w:t>.</w:t>
      </w:r>
      <w:r>
        <w:rPr>
          <w:rFonts w:hint="eastAsia"/>
        </w:rPr>
        <w:t>1 梯度洗脱条件（高效液相色谱法）</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38D0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7D261409">
            <w:pPr>
              <w:jc w:val="center"/>
            </w:pPr>
            <w:r>
              <w:rPr>
                <w:rFonts w:hint="eastAsia"/>
              </w:rPr>
              <w:t>时间</w:t>
            </w:r>
          </w:p>
          <w:p w14:paraId="5CFE4081">
            <w:pPr>
              <w:jc w:val="center"/>
            </w:pPr>
            <w:r>
              <w:rPr>
                <w:rFonts w:hint="eastAsia" w:ascii="Times New Roman" w:hAnsi="Times New Roman" w:cs="Times New Roman"/>
              </w:rPr>
              <w:t>min</w:t>
            </w:r>
          </w:p>
        </w:tc>
        <w:tc>
          <w:tcPr>
            <w:tcW w:w="2841" w:type="dxa"/>
          </w:tcPr>
          <w:p w14:paraId="7938440B">
            <w:pPr>
              <w:jc w:val="center"/>
            </w:pPr>
            <w:r>
              <w:rPr>
                <w:rFonts w:hint="eastAsia"/>
              </w:rPr>
              <w:t>流动相</w:t>
            </w:r>
            <w:r>
              <w:rPr>
                <w:rFonts w:ascii="Times New Roman" w:hAnsi="Times New Roman" w:cs="Times New Roman"/>
              </w:rPr>
              <w:t>A</w:t>
            </w:r>
            <w:r>
              <w:rPr>
                <w:rFonts w:hint="eastAsia"/>
              </w:rPr>
              <w:t>体积分数</w:t>
            </w:r>
          </w:p>
          <w:p w14:paraId="7C892970">
            <w:pPr>
              <w:jc w:val="center"/>
              <w:rPr>
                <w:rFonts w:ascii="Times New Roman" w:hAnsi="Times New Roman" w:cs="Times New Roman"/>
              </w:rPr>
            </w:pPr>
            <w:r>
              <w:rPr>
                <w:rFonts w:hint="eastAsia" w:ascii="Times New Roman" w:hAnsi="Times New Roman" w:cs="Times New Roman"/>
              </w:rPr>
              <w:t>%</w:t>
            </w:r>
          </w:p>
        </w:tc>
        <w:tc>
          <w:tcPr>
            <w:tcW w:w="2841" w:type="dxa"/>
          </w:tcPr>
          <w:p w14:paraId="66EB7432">
            <w:pPr>
              <w:jc w:val="center"/>
            </w:pPr>
            <w:r>
              <w:rPr>
                <w:rFonts w:hint="eastAsia"/>
              </w:rPr>
              <w:t>流动相</w:t>
            </w:r>
            <w:r>
              <w:rPr>
                <w:rFonts w:hint="eastAsia" w:ascii="Times New Roman" w:hAnsi="Times New Roman" w:cs="Times New Roman"/>
              </w:rPr>
              <w:t>B</w:t>
            </w:r>
            <w:r>
              <w:rPr>
                <w:rFonts w:hint="eastAsia"/>
              </w:rPr>
              <w:t>体积分数</w:t>
            </w:r>
          </w:p>
          <w:p w14:paraId="1634A231">
            <w:pPr>
              <w:jc w:val="center"/>
            </w:pPr>
            <w:r>
              <w:rPr>
                <w:rFonts w:hint="eastAsia" w:ascii="Times New Roman" w:hAnsi="Times New Roman" w:cs="Times New Roman"/>
              </w:rPr>
              <w:t>%</w:t>
            </w:r>
          </w:p>
        </w:tc>
      </w:tr>
      <w:tr w14:paraId="5892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285FEAD7">
            <w:pPr>
              <w:jc w:val="center"/>
              <w:rPr>
                <w:rFonts w:ascii="Times New Roman" w:hAnsi="Times New Roman" w:cs="Times New Roman"/>
              </w:rPr>
            </w:pPr>
            <w:r>
              <w:rPr>
                <w:rFonts w:hint="eastAsia" w:ascii="Times New Roman" w:hAnsi="Times New Roman" w:cs="Times New Roman"/>
              </w:rPr>
              <w:t>0</w:t>
            </w:r>
          </w:p>
        </w:tc>
        <w:tc>
          <w:tcPr>
            <w:tcW w:w="2841" w:type="dxa"/>
          </w:tcPr>
          <w:p w14:paraId="1543315D">
            <w:pPr>
              <w:jc w:val="center"/>
              <w:rPr>
                <w:rFonts w:ascii="Times New Roman" w:hAnsi="Times New Roman" w:cs="Times New Roman"/>
              </w:rPr>
            </w:pPr>
            <w:r>
              <w:rPr>
                <w:rFonts w:hint="eastAsia" w:ascii="Times New Roman" w:hAnsi="Times New Roman" w:cs="Times New Roman"/>
              </w:rPr>
              <w:t>95</w:t>
            </w:r>
          </w:p>
        </w:tc>
        <w:tc>
          <w:tcPr>
            <w:tcW w:w="2841" w:type="dxa"/>
          </w:tcPr>
          <w:p w14:paraId="0DA6C90D">
            <w:pPr>
              <w:jc w:val="center"/>
              <w:rPr>
                <w:rFonts w:ascii="Times New Roman" w:hAnsi="Times New Roman" w:cs="Times New Roman"/>
              </w:rPr>
            </w:pPr>
            <w:r>
              <w:rPr>
                <w:rFonts w:hint="eastAsia" w:ascii="Times New Roman" w:hAnsi="Times New Roman" w:cs="Times New Roman"/>
              </w:rPr>
              <w:t>5</w:t>
            </w:r>
          </w:p>
        </w:tc>
      </w:tr>
      <w:tr w14:paraId="79C97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629A0A7D">
            <w:pPr>
              <w:jc w:val="center"/>
              <w:rPr>
                <w:rFonts w:ascii="Times New Roman" w:hAnsi="Times New Roman" w:cs="Times New Roman"/>
              </w:rPr>
            </w:pPr>
            <w:r>
              <w:rPr>
                <w:rFonts w:hint="eastAsia" w:ascii="Times New Roman" w:hAnsi="Times New Roman" w:cs="Times New Roman"/>
              </w:rPr>
              <w:t>10</w:t>
            </w:r>
          </w:p>
        </w:tc>
        <w:tc>
          <w:tcPr>
            <w:tcW w:w="2841" w:type="dxa"/>
          </w:tcPr>
          <w:p w14:paraId="4432F3B6">
            <w:pPr>
              <w:jc w:val="center"/>
              <w:rPr>
                <w:rFonts w:ascii="Times New Roman" w:hAnsi="Times New Roman" w:cs="Times New Roman"/>
              </w:rPr>
            </w:pPr>
            <w:r>
              <w:rPr>
                <w:rFonts w:hint="eastAsia" w:ascii="Times New Roman" w:hAnsi="Times New Roman" w:cs="Times New Roman"/>
              </w:rPr>
              <w:t>90</w:t>
            </w:r>
          </w:p>
        </w:tc>
        <w:tc>
          <w:tcPr>
            <w:tcW w:w="2841" w:type="dxa"/>
          </w:tcPr>
          <w:p w14:paraId="6AE180C7">
            <w:pPr>
              <w:jc w:val="center"/>
              <w:rPr>
                <w:rFonts w:ascii="Times New Roman" w:hAnsi="Times New Roman" w:cs="Times New Roman"/>
              </w:rPr>
            </w:pPr>
            <w:r>
              <w:rPr>
                <w:rFonts w:hint="eastAsia" w:ascii="Times New Roman" w:hAnsi="Times New Roman" w:cs="Times New Roman"/>
              </w:rPr>
              <w:t>10</w:t>
            </w:r>
          </w:p>
        </w:tc>
      </w:tr>
      <w:tr w14:paraId="0131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72ED69D0">
            <w:pPr>
              <w:jc w:val="center"/>
              <w:rPr>
                <w:rFonts w:ascii="Times New Roman" w:hAnsi="Times New Roman" w:cs="Times New Roman"/>
              </w:rPr>
            </w:pPr>
            <w:r>
              <w:rPr>
                <w:rFonts w:hint="eastAsia" w:ascii="Times New Roman" w:hAnsi="Times New Roman" w:cs="Times New Roman"/>
              </w:rPr>
              <w:t>10.5</w:t>
            </w:r>
          </w:p>
        </w:tc>
        <w:tc>
          <w:tcPr>
            <w:tcW w:w="2841" w:type="dxa"/>
          </w:tcPr>
          <w:p w14:paraId="3E598EB2">
            <w:pPr>
              <w:jc w:val="center"/>
              <w:rPr>
                <w:rFonts w:ascii="Times New Roman" w:hAnsi="Times New Roman" w:cs="Times New Roman"/>
              </w:rPr>
            </w:pPr>
            <w:r>
              <w:rPr>
                <w:rFonts w:hint="eastAsia" w:ascii="Times New Roman" w:hAnsi="Times New Roman" w:cs="Times New Roman"/>
              </w:rPr>
              <w:t>70</w:t>
            </w:r>
          </w:p>
        </w:tc>
        <w:tc>
          <w:tcPr>
            <w:tcW w:w="2841" w:type="dxa"/>
          </w:tcPr>
          <w:p w14:paraId="4CD34B43">
            <w:pPr>
              <w:jc w:val="center"/>
              <w:rPr>
                <w:rFonts w:ascii="Times New Roman" w:hAnsi="Times New Roman" w:cs="Times New Roman"/>
              </w:rPr>
            </w:pPr>
            <w:r>
              <w:rPr>
                <w:rFonts w:hint="eastAsia" w:ascii="Times New Roman" w:hAnsi="Times New Roman" w:cs="Times New Roman"/>
              </w:rPr>
              <w:t>30</w:t>
            </w:r>
          </w:p>
        </w:tc>
      </w:tr>
      <w:tr w14:paraId="5B7D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18C99ABE">
            <w:pPr>
              <w:jc w:val="center"/>
              <w:rPr>
                <w:rFonts w:ascii="Times New Roman" w:hAnsi="Times New Roman" w:cs="Times New Roman"/>
              </w:rPr>
            </w:pPr>
            <w:r>
              <w:rPr>
                <w:rFonts w:hint="eastAsia" w:ascii="Times New Roman" w:hAnsi="Times New Roman" w:cs="Times New Roman"/>
              </w:rPr>
              <w:t>11.5</w:t>
            </w:r>
          </w:p>
        </w:tc>
        <w:tc>
          <w:tcPr>
            <w:tcW w:w="2841" w:type="dxa"/>
          </w:tcPr>
          <w:p w14:paraId="0B6575AE">
            <w:pPr>
              <w:jc w:val="center"/>
              <w:rPr>
                <w:rFonts w:ascii="Times New Roman" w:hAnsi="Times New Roman" w:cs="Times New Roman"/>
              </w:rPr>
            </w:pPr>
            <w:r>
              <w:rPr>
                <w:rFonts w:hint="eastAsia" w:ascii="Times New Roman" w:hAnsi="Times New Roman" w:cs="Times New Roman"/>
              </w:rPr>
              <w:t>70</w:t>
            </w:r>
          </w:p>
        </w:tc>
        <w:tc>
          <w:tcPr>
            <w:tcW w:w="2841" w:type="dxa"/>
          </w:tcPr>
          <w:p w14:paraId="7F1A6F6B">
            <w:pPr>
              <w:jc w:val="center"/>
              <w:rPr>
                <w:rFonts w:ascii="Times New Roman" w:hAnsi="Times New Roman" w:cs="Times New Roman"/>
              </w:rPr>
            </w:pPr>
            <w:r>
              <w:rPr>
                <w:rFonts w:hint="eastAsia" w:ascii="Times New Roman" w:hAnsi="Times New Roman" w:cs="Times New Roman"/>
              </w:rPr>
              <w:t>30</w:t>
            </w:r>
          </w:p>
        </w:tc>
      </w:tr>
      <w:tr w14:paraId="433C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6A6BA5C0">
            <w:pPr>
              <w:jc w:val="center"/>
              <w:rPr>
                <w:rFonts w:ascii="Times New Roman" w:hAnsi="Times New Roman" w:cs="Times New Roman"/>
              </w:rPr>
            </w:pPr>
            <w:r>
              <w:rPr>
                <w:rFonts w:hint="eastAsia" w:ascii="Times New Roman" w:hAnsi="Times New Roman" w:cs="Times New Roman"/>
              </w:rPr>
              <w:t>12</w:t>
            </w:r>
          </w:p>
        </w:tc>
        <w:tc>
          <w:tcPr>
            <w:tcW w:w="2841" w:type="dxa"/>
          </w:tcPr>
          <w:p w14:paraId="43FA8669">
            <w:pPr>
              <w:jc w:val="center"/>
              <w:rPr>
                <w:rFonts w:ascii="Times New Roman" w:hAnsi="Times New Roman" w:cs="Times New Roman"/>
              </w:rPr>
            </w:pPr>
            <w:r>
              <w:rPr>
                <w:rFonts w:hint="eastAsia" w:ascii="Times New Roman" w:hAnsi="Times New Roman" w:cs="Times New Roman"/>
              </w:rPr>
              <w:t>95</w:t>
            </w:r>
          </w:p>
        </w:tc>
        <w:tc>
          <w:tcPr>
            <w:tcW w:w="2841" w:type="dxa"/>
          </w:tcPr>
          <w:p w14:paraId="62D34C1C">
            <w:pPr>
              <w:jc w:val="center"/>
              <w:rPr>
                <w:rFonts w:ascii="Times New Roman" w:hAnsi="Times New Roman" w:cs="Times New Roman"/>
              </w:rPr>
            </w:pPr>
            <w:r>
              <w:rPr>
                <w:rFonts w:hint="eastAsia" w:ascii="Times New Roman" w:hAnsi="Times New Roman" w:cs="Times New Roman"/>
              </w:rPr>
              <w:t>5</w:t>
            </w:r>
          </w:p>
        </w:tc>
      </w:tr>
      <w:tr w14:paraId="4B40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1B31BC29">
            <w:pPr>
              <w:jc w:val="center"/>
              <w:rPr>
                <w:rFonts w:ascii="Times New Roman" w:hAnsi="Times New Roman" w:cs="Times New Roman"/>
              </w:rPr>
            </w:pPr>
            <w:r>
              <w:rPr>
                <w:rFonts w:hint="eastAsia" w:ascii="Times New Roman" w:hAnsi="Times New Roman" w:cs="Times New Roman"/>
              </w:rPr>
              <w:t>15</w:t>
            </w:r>
          </w:p>
        </w:tc>
        <w:tc>
          <w:tcPr>
            <w:tcW w:w="2841" w:type="dxa"/>
          </w:tcPr>
          <w:p w14:paraId="31ED7308">
            <w:pPr>
              <w:jc w:val="center"/>
              <w:rPr>
                <w:rFonts w:ascii="Times New Roman" w:hAnsi="Times New Roman" w:cs="Times New Roman"/>
              </w:rPr>
            </w:pPr>
            <w:r>
              <w:rPr>
                <w:rFonts w:hint="eastAsia" w:ascii="Times New Roman" w:hAnsi="Times New Roman" w:cs="Times New Roman"/>
              </w:rPr>
              <w:t>95</w:t>
            </w:r>
          </w:p>
        </w:tc>
        <w:tc>
          <w:tcPr>
            <w:tcW w:w="2841" w:type="dxa"/>
          </w:tcPr>
          <w:p w14:paraId="66B92128">
            <w:pPr>
              <w:jc w:val="center"/>
              <w:rPr>
                <w:rFonts w:ascii="Times New Roman" w:hAnsi="Times New Roman" w:cs="Times New Roman"/>
              </w:rPr>
            </w:pPr>
            <w:r>
              <w:rPr>
                <w:rFonts w:hint="eastAsia" w:ascii="Times New Roman" w:hAnsi="Times New Roman" w:cs="Times New Roman"/>
              </w:rPr>
              <w:t>5</w:t>
            </w:r>
          </w:p>
        </w:tc>
      </w:tr>
    </w:tbl>
    <w:p w14:paraId="03BC5940">
      <w:pPr>
        <w:pStyle w:val="153"/>
        <w:keepNext w:val="0"/>
        <w:keepLines w:val="0"/>
        <w:pageBreakBefore w:val="0"/>
        <w:widowControl w:val="0"/>
        <w:tabs>
          <w:tab w:val="left" w:pos="704"/>
          <w:tab w:val="left" w:pos="705"/>
        </w:tabs>
        <w:kinsoku/>
        <w:wordWrap/>
        <w:overflowPunct/>
        <w:topLinePunct w:val="0"/>
        <w:autoSpaceDE w:val="0"/>
        <w:autoSpaceDN w:val="0"/>
        <w:bidi w:val="0"/>
        <w:adjustRightInd/>
        <w:snapToGrid/>
        <w:spacing w:before="300" w:beforeLines="100" w:after="300" w:afterLines="100" w:line="240" w:lineRule="auto"/>
        <w:ind w:left="0" w:firstLine="0" w:firstLineChars="0"/>
        <w:jc w:val="left"/>
        <w:textAlignment w:val="auto"/>
        <w:rPr>
          <w:rFonts w:ascii="黑体" w:hAnsi="黑体" w:eastAsia="黑体" w:cs="黑体"/>
          <w:spacing w:val="-3"/>
          <w:kern w:val="0"/>
          <w:sz w:val="21"/>
          <w:szCs w:val="21"/>
          <w:lang w:val="zh-CN" w:bidi="zh-CN"/>
        </w:rPr>
      </w:pPr>
      <w:r>
        <w:rPr>
          <w:rFonts w:hint="eastAsia" w:ascii="黑体" w:hAnsi="黑体" w:eastAsia="黑体" w:cs="黑体"/>
          <w:spacing w:val="-3"/>
          <w:kern w:val="0"/>
          <w:sz w:val="21"/>
          <w:szCs w:val="21"/>
          <w:lang w:val="zh-CN" w:bidi="zh-CN"/>
        </w:rPr>
        <w:t>A.</w:t>
      </w:r>
      <w:r>
        <w:rPr>
          <w:rFonts w:hint="eastAsia" w:ascii="黑体" w:hAnsi="黑体" w:eastAsia="黑体" w:cs="黑体"/>
          <w:spacing w:val="-3"/>
          <w:kern w:val="0"/>
          <w:sz w:val="21"/>
          <w:szCs w:val="21"/>
          <w:lang w:val="en-US" w:bidi="zh-CN"/>
        </w:rPr>
        <w:t xml:space="preserve">2  </w:t>
      </w:r>
      <w:r>
        <w:rPr>
          <w:rFonts w:hint="eastAsia" w:ascii="黑体" w:hAnsi="黑体" w:eastAsia="黑体" w:cs="黑体"/>
          <w:spacing w:val="-3"/>
          <w:kern w:val="0"/>
          <w:sz w:val="21"/>
          <w:szCs w:val="21"/>
          <w:lang w:val="zh-CN" w:bidi="zh-CN"/>
        </w:rPr>
        <w:t>液相色谱-质谱法（参照GB/T39512-2020）</w:t>
      </w:r>
    </w:p>
    <w:p w14:paraId="2B371B75">
      <w:pPr>
        <w:keepLines w:val="0"/>
        <w:kinsoku/>
        <w:wordWrap/>
        <w:overflowPunct/>
        <w:topLinePunct w:val="0"/>
        <w:bidi w:val="0"/>
        <w:snapToGrid/>
        <w:spacing w:line="240" w:lineRule="auto"/>
        <w:textAlignment w:val="auto"/>
        <w:rPr>
          <w:rFonts w:hint="eastAsia" w:ascii="Times New Roman" w:hAnsi="Times New Roman" w:eastAsia="宋体" w:cs="Times New Roman"/>
          <w:sz w:val="21"/>
          <w:szCs w:val="21"/>
          <w:lang w:val="en-US" w:eastAsia="zh-CN"/>
        </w:rPr>
      </w:pPr>
      <w:r>
        <w:rPr>
          <w:rFonts w:ascii="黑体" w:hAnsi="黑体" w:eastAsia="黑体" w:cs="黑体"/>
          <w:spacing w:val="-2"/>
          <w:sz w:val="21"/>
          <w:szCs w:val="21"/>
        </w:rPr>
        <w:t>A.</w:t>
      </w:r>
      <w:r>
        <w:rPr>
          <w:rFonts w:hint="eastAsia" w:ascii="黑体" w:hAnsi="黑体" w:eastAsia="黑体" w:cs="黑体"/>
          <w:spacing w:val="-2"/>
          <w:sz w:val="21"/>
          <w:szCs w:val="21"/>
          <w:lang w:val="en-US" w:eastAsia="zh-CN"/>
        </w:rPr>
        <w:t>2</w:t>
      </w:r>
      <w:r>
        <w:rPr>
          <w:rFonts w:ascii="黑体" w:hAnsi="黑体" w:eastAsia="黑体" w:cs="黑体"/>
          <w:spacing w:val="-2"/>
          <w:sz w:val="21"/>
          <w:szCs w:val="21"/>
        </w:rPr>
        <w:t>.1</w:t>
      </w:r>
      <w:r>
        <w:rPr>
          <w:snapToGrid w:val="0"/>
          <w:color w:val="000000"/>
          <w:spacing w:val="-2"/>
          <w:sz w:val="21"/>
          <w:szCs w:val="21"/>
        </w:rPr>
        <w:t xml:space="preserve"> </w:t>
      </w:r>
      <w:r>
        <w:rPr>
          <w:rFonts w:hint="eastAsia"/>
          <w:snapToGrid w:val="0"/>
          <w:color w:val="000000"/>
          <w:spacing w:val="-2"/>
          <w:sz w:val="21"/>
          <w:szCs w:val="21"/>
        </w:rPr>
        <w:t>液相色谱</w:t>
      </w:r>
      <w:r>
        <w:rPr>
          <w:rFonts w:hint="eastAsia" w:ascii="黑体" w:hAnsi="黑体" w:eastAsia="黑体" w:cs="黑体"/>
          <w:spacing w:val="-3"/>
          <w:kern w:val="0"/>
          <w:sz w:val="21"/>
          <w:szCs w:val="21"/>
          <w:lang w:val="zh-CN" w:bidi="zh-CN"/>
        </w:rPr>
        <w:t>-</w:t>
      </w:r>
      <w:r>
        <w:rPr>
          <w:rFonts w:hint="eastAsia"/>
          <w:snapToGrid w:val="0"/>
          <w:color w:val="000000"/>
          <w:spacing w:val="-2"/>
          <w:sz w:val="21"/>
          <w:szCs w:val="21"/>
        </w:rPr>
        <w:t>质谱法流动相配制参见表A</w:t>
      </w:r>
      <w:r>
        <w:rPr>
          <w:rFonts w:hint="eastAsia"/>
          <w:snapToGrid w:val="0"/>
          <w:color w:val="000000"/>
          <w:spacing w:val="-2"/>
          <w:sz w:val="21"/>
          <w:szCs w:val="21"/>
          <w:lang w:val="en-US" w:eastAsia="zh-CN"/>
        </w:rPr>
        <w:t>.</w:t>
      </w:r>
      <w:r>
        <w:rPr>
          <w:rFonts w:hint="eastAsia"/>
          <w:snapToGrid w:val="0"/>
          <w:color w:val="000000"/>
          <w:spacing w:val="-2"/>
          <w:sz w:val="21"/>
          <w:szCs w:val="21"/>
        </w:rPr>
        <w:t>2</w:t>
      </w:r>
      <w:r>
        <w:rPr>
          <w:rFonts w:hint="eastAsia"/>
          <w:snapToGrid w:val="0"/>
          <w:color w:val="000000"/>
          <w:spacing w:val="-2"/>
          <w:sz w:val="21"/>
          <w:szCs w:val="21"/>
          <w:lang w:val="en-US" w:eastAsia="zh-CN"/>
        </w:rPr>
        <w:t>;</w:t>
      </w:r>
    </w:p>
    <w:p w14:paraId="78C06ADF">
      <w:pPr>
        <w:keepLines w:val="0"/>
        <w:kinsoku/>
        <w:wordWrap/>
        <w:overflowPunct/>
        <w:topLinePunct w:val="0"/>
        <w:bidi w:val="0"/>
        <w:snapToGrid/>
        <w:spacing w:line="240" w:lineRule="auto"/>
        <w:textAlignment w:val="auto"/>
        <w:rPr>
          <w:rFonts w:hint="eastAsia" w:ascii="Times New Roman" w:hAnsi="Times New Roman" w:cs="Times New Roman"/>
          <w:sz w:val="21"/>
          <w:szCs w:val="21"/>
        </w:rPr>
      </w:pPr>
      <w:r>
        <w:rPr>
          <w:rFonts w:ascii="黑体" w:hAnsi="黑体" w:eastAsia="黑体" w:cs="黑体"/>
          <w:spacing w:val="-2"/>
          <w:sz w:val="21"/>
          <w:szCs w:val="21"/>
        </w:rPr>
        <w:t>A.</w:t>
      </w:r>
      <w:r>
        <w:rPr>
          <w:rFonts w:hint="eastAsia" w:ascii="黑体" w:hAnsi="黑体" w:eastAsia="黑体" w:cs="黑体"/>
          <w:spacing w:val="-2"/>
          <w:sz w:val="21"/>
          <w:szCs w:val="21"/>
          <w:lang w:val="en-US" w:eastAsia="zh-CN"/>
        </w:rPr>
        <w:t>2</w:t>
      </w:r>
      <w:r>
        <w:rPr>
          <w:rFonts w:ascii="黑体" w:hAnsi="黑体" w:eastAsia="黑体" w:cs="黑体"/>
          <w:spacing w:val="-2"/>
          <w:sz w:val="21"/>
          <w:szCs w:val="21"/>
        </w:rPr>
        <w:t>.</w:t>
      </w:r>
      <w:r>
        <w:rPr>
          <w:rFonts w:hint="eastAsia" w:ascii="黑体" w:hAnsi="黑体" w:eastAsia="黑体" w:cs="黑体"/>
          <w:spacing w:val="-2"/>
          <w:sz w:val="21"/>
          <w:szCs w:val="21"/>
          <w:lang w:val="en-US"/>
        </w:rPr>
        <w:t>2</w:t>
      </w:r>
      <w:r>
        <w:rPr>
          <w:rFonts w:hint="eastAsia" w:ascii="黑体" w:hAnsi="黑体" w:eastAsia="黑体" w:cs="黑体"/>
          <w:spacing w:val="-2"/>
          <w:sz w:val="21"/>
          <w:szCs w:val="21"/>
          <w:lang w:val="en-US" w:eastAsia="zh-CN"/>
        </w:rPr>
        <w:t xml:space="preserve"> </w:t>
      </w:r>
      <w:r>
        <w:rPr>
          <w:rFonts w:hint="eastAsia" w:ascii="Times New Roman" w:hAnsi="Times New Roman" w:cs="Times New Roman"/>
          <w:sz w:val="21"/>
          <w:szCs w:val="21"/>
        </w:rPr>
        <w:t>质谱条件：电喷雾电离源，离子阱质量分析器；</w:t>
      </w:r>
    </w:p>
    <w:p w14:paraId="6E979F34">
      <w:pPr>
        <w:keepLines w:val="0"/>
        <w:kinsoku/>
        <w:wordWrap/>
        <w:overflowPunct/>
        <w:topLinePunct w:val="0"/>
        <w:bidi w:val="0"/>
        <w:snapToGrid/>
        <w:spacing w:line="240" w:lineRule="auto"/>
        <w:textAlignment w:val="auto"/>
        <w:rPr>
          <w:rFonts w:ascii="Times New Roman" w:hAnsi="Times New Roman" w:cs="Times New Roman"/>
          <w:sz w:val="21"/>
          <w:szCs w:val="21"/>
        </w:rPr>
      </w:pPr>
      <w:r>
        <w:rPr>
          <w:rFonts w:ascii="黑体" w:hAnsi="黑体" w:eastAsia="黑体" w:cs="黑体"/>
          <w:spacing w:val="-2"/>
          <w:sz w:val="21"/>
          <w:szCs w:val="21"/>
        </w:rPr>
        <w:t>A.</w:t>
      </w:r>
      <w:r>
        <w:rPr>
          <w:rFonts w:hint="eastAsia" w:ascii="黑体" w:hAnsi="黑体" w:eastAsia="黑体" w:cs="黑体"/>
          <w:spacing w:val="-2"/>
          <w:sz w:val="21"/>
          <w:szCs w:val="21"/>
          <w:lang w:val="en-US" w:eastAsia="zh-CN"/>
        </w:rPr>
        <w:t>2</w:t>
      </w:r>
      <w:r>
        <w:rPr>
          <w:rFonts w:ascii="黑体" w:hAnsi="黑体" w:eastAsia="黑体" w:cs="黑体"/>
          <w:spacing w:val="-2"/>
          <w:sz w:val="21"/>
          <w:szCs w:val="21"/>
        </w:rPr>
        <w:t>.</w:t>
      </w:r>
      <w:r>
        <w:rPr>
          <w:rFonts w:hint="eastAsia" w:ascii="黑体" w:hAnsi="黑体" w:eastAsia="黑体" w:cs="黑体"/>
          <w:spacing w:val="-2"/>
          <w:sz w:val="21"/>
          <w:szCs w:val="21"/>
          <w:lang w:val="en-US" w:eastAsia="zh-CN"/>
        </w:rPr>
        <w:t>3</w:t>
      </w:r>
      <w:r>
        <w:rPr>
          <w:snapToGrid w:val="0"/>
          <w:color w:val="000000"/>
          <w:spacing w:val="-2"/>
          <w:sz w:val="21"/>
          <w:szCs w:val="21"/>
        </w:rPr>
        <w:t xml:space="preserve"> </w:t>
      </w:r>
      <w:r>
        <w:rPr>
          <w:rFonts w:hint="eastAsia"/>
          <w:snapToGrid w:val="0"/>
          <w:color w:val="000000"/>
          <w:spacing w:val="-2"/>
          <w:sz w:val="21"/>
          <w:szCs w:val="21"/>
        </w:rPr>
        <w:t>毛细管电压：4000V；</w:t>
      </w:r>
    </w:p>
    <w:p w14:paraId="7F8473E1">
      <w:pPr>
        <w:keepLines w:val="0"/>
        <w:kinsoku/>
        <w:wordWrap/>
        <w:overflowPunct/>
        <w:topLinePunct w:val="0"/>
        <w:bidi w:val="0"/>
        <w:snapToGrid/>
        <w:spacing w:line="240" w:lineRule="auto"/>
        <w:textAlignment w:val="auto"/>
        <w:rPr>
          <w:rFonts w:ascii="Times New Roman" w:hAnsi="Times New Roman" w:cs="Times New Roman"/>
          <w:sz w:val="21"/>
          <w:szCs w:val="21"/>
        </w:rPr>
      </w:pPr>
      <w:r>
        <w:rPr>
          <w:rFonts w:ascii="黑体" w:hAnsi="黑体" w:eastAsia="黑体" w:cs="黑体"/>
          <w:spacing w:val="-2"/>
          <w:sz w:val="21"/>
          <w:szCs w:val="21"/>
        </w:rPr>
        <w:t>A.</w:t>
      </w:r>
      <w:r>
        <w:rPr>
          <w:rFonts w:hint="eastAsia" w:ascii="黑体" w:hAnsi="黑体" w:eastAsia="黑体" w:cs="黑体"/>
          <w:spacing w:val="-2"/>
          <w:sz w:val="21"/>
          <w:szCs w:val="21"/>
          <w:lang w:val="en-US" w:eastAsia="zh-CN"/>
        </w:rPr>
        <w:t>2</w:t>
      </w:r>
      <w:r>
        <w:rPr>
          <w:rFonts w:ascii="黑体" w:hAnsi="黑体" w:eastAsia="黑体" w:cs="黑体"/>
          <w:spacing w:val="-2"/>
          <w:sz w:val="21"/>
          <w:szCs w:val="21"/>
        </w:rPr>
        <w:t>.</w:t>
      </w:r>
      <w:r>
        <w:rPr>
          <w:rFonts w:hint="eastAsia" w:ascii="黑体" w:hAnsi="黑体" w:eastAsia="黑体" w:cs="黑体"/>
          <w:spacing w:val="-2"/>
          <w:sz w:val="21"/>
          <w:szCs w:val="21"/>
          <w:lang w:val="en-US" w:eastAsia="zh-CN"/>
        </w:rPr>
        <w:t xml:space="preserve">4 </w:t>
      </w:r>
      <w:r>
        <w:rPr>
          <w:rFonts w:hint="eastAsia" w:ascii="Times New Roman" w:hAnsi="Times New Roman" w:cs="Times New Roman"/>
          <w:sz w:val="21"/>
          <w:szCs w:val="21"/>
        </w:rPr>
        <w:t>雾化气压力：0.28MPa；</w:t>
      </w:r>
    </w:p>
    <w:p w14:paraId="0279E1A3">
      <w:pPr>
        <w:keepLines w:val="0"/>
        <w:kinsoku/>
        <w:wordWrap/>
        <w:overflowPunct/>
        <w:topLinePunct w:val="0"/>
        <w:bidi w:val="0"/>
        <w:snapToGrid/>
        <w:spacing w:line="240" w:lineRule="auto"/>
        <w:textAlignment w:val="auto"/>
        <w:rPr>
          <w:rFonts w:ascii="Times New Roman" w:hAnsi="Times New Roman" w:cs="Times New Roman"/>
          <w:sz w:val="21"/>
          <w:szCs w:val="21"/>
        </w:rPr>
      </w:pPr>
      <w:r>
        <w:rPr>
          <w:rFonts w:ascii="黑体" w:hAnsi="黑体" w:eastAsia="黑体" w:cs="黑体"/>
          <w:spacing w:val="-2"/>
          <w:sz w:val="21"/>
          <w:szCs w:val="21"/>
        </w:rPr>
        <w:t>A.</w:t>
      </w:r>
      <w:r>
        <w:rPr>
          <w:rFonts w:hint="eastAsia" w:ascii="黑体" w:hAnsi="黑体" w:eastAsia="黑体" w:cs="黑体"/>
          <w:spacing w:val="-2"/>
          <w:sz w:val="21"/>
          <w:szCs w:val="21"/>
          <w:lang w:val="en-US" w:eastAsia="zh-CN"/>
        </w:rPr>
        <w:t>2</w:t>
      </w:r>
      <w:r>
        <w:rPr>
          <w:rFonts w:ascii="黑体" w:hAnsi="黑体" w:eastAsia="黑体" w:cs="黑体"/>
          <w:spacing w:val="-2"/>
          <w:sz w:val="21"/>
          <w:szCs w:val="21"/>
        </w:rPr>
        <w:t>.</w:t>
      </w:r>
      <w:r>
        <w:rPr>
          <w:rFonts w:hint="eastAsia" w:ascii="黑体" w:hAnsi="黑体" w:eastAsia="黑体" w:cs="黑体"/>
          <w:spacing w:val="-2"/>
          <w:sz w:val="21"/>
          <w:szCs w:val="21"/>
          <w:lang w:val="en-US" w:eastAsia="zh-CN"/>
        </w:rPr>
        <w:t xml:space="preserve">5 </w:t>
      </w:r>
      <w:r>
        <w:rPr>
          <w:rFonts w:hint="eastAsia" w:ascii="Times New Roman" w:hAnsi="Times New Roman" w:cs="Times New Roman"/>
          <w:sz w:val="21"/>
          <w:szCs w:val="21"/>
        </w:rPr>
        <w:t>雾化气温度：350℃；</w:t>
      </w:r>
    </w:p>
    <w:p w14:paraId="77DA8741">
      <w:pPr>
        <w:keepLines w:val="0"/>
        <w:kinsoku/>
        <w:wordWrap/>
        <w:overflowPunct/>
        <w:topLinePunct w:val="0"/>
        <w:bidi w:val="0"/>
        <w:snapToGrid/>
        <w:spacing w:line="240" w:lineRule="auto"/>
        <w:textAlignment w:val="auto"/>
        <w:rPr>
          <w:rFonts w:hint="eastAsia" w:ascii="Times New Roman" w:hAnsi="Times New Roman" w:eastAsia="宋体" w:cs="Times New Roman"/>
          <w:sz w:val="21"/>
          <w:szCs w:val="21"/>
          <w:lang w:eastAsia="zh-CN"/>
        </w:rPr>
      </w:pPr>
      <w:r>
        <w:rPr>
          <w:rFonts w:ascii="黑体" w:hAnsi="黑体" w:eastAsia="黑体" w:cs="黑体"/>
          <w:spacing w:val="-2"/>
          <w:sz w:val="21"/>
          <w:szCs w:val="21"/>
        </w:rPr>
        <w:t>A.</w:t>
      </w:r>
      <w:r>
        <w:rPr>
          <w:rFonts w:hint="eastAsia" w:ascii="黑体" w:hAnsi="黑体" w:eastAsia="黑体" w:cs="黑体"/>
          <w:spacing w:val="-2"/>
          <w:sz w:val="21"/>
          <w:szCs w:val="21"/>
          <w:lang w:val="en-US" w:eastAsia="zh-CN"/>
        </w:rPr>
        <w:t>2</w:t>
      </w:r>
      <w:r>
        <w:rPr>
          <w:rFonts w:ascii="黑体" w:hAnsi="黑体" w:eastAsia="黑体" w:cs="黑体"/>
          <w:spacing w:val="-2"/>
          <w:sz w:val="21"/>
          <w:szCs w:val="21"/>
        </w:rPr>
        <w:t>.</w:t>
      </w:r>
      <w:r>
        <w:rPr>
          <w:rFonts w:hint="eastAsia" w:ascii="黑体" w:hAnsi="黑体" w:eastAsia="黑体" w:cs="黑体"/>
          <w:spacing w:val="-2"/>
          <w:sz w:val="21"/>
          <w:szCs w:val="21"/>
          <w:lang w:val="en-US" w:eastAsia="zh-CN"/>
        </w:rPr>
        <w:t xml:space="preserve">6 </w:t>
      </w:r>
      <w:r>
        <w:rPr>
          <w:rFonts w:hint="eastAsia" w:ascii="Times New Roman" w:hAnsi="Times New Roman" w:cs="Times New Roman"/>
          <w:sz w:val="21"/>
          <w:szCs w:val="21"/>
        </w:rPr>
        <w:t>破裂电压：150V</w:t>
      </w:r>
      <w:r>
        <w:rPr>
          <w:rFonts w:hint="eastAsia" w:cs="Times New Roman"/>
          <w:sz w:val="21"/>
          <w:szCs w:val="21"/>
          <w:lang w:val="en-US" w:eastAsia="zh-CN"/>
        </w:rPr>
        <w:t>;</w:t>
      </w:r>
    </w:p>
    <w:p w14:paraId="35F5A3C0">
      <w:pPr>
        <w:keepLines w:val="0"/>
        <w:kinsoku/>
        <w:wordWrap/>
        <w:overflowPunct/>
        <w:topLinePunct w:val="0"/>
        <w:bidi w:val="0"/>
        <w:snapToGrid/>
        <w:spacing w:line="240" w:lineRule="auto"/>
        <w:textAlignment w:val="auto"/>
        <w:rPr>
          <w:rFonts w:ascii="Times New Roman" w:hAnsi="Times New Roman" w:cs="Times New Roman"/>
          <w:sz w:val="21"/>
          <w:szCs w:val="21"/>
        </w:rPr>
      </w:pPr>
      <w:r>
        <w:rPr>
          <w:rFonts w:ascii="黑体" w:hAnsi="黑体" w:eastAsia="黑体" w:cs="黑体"/>
          <w:spacing w:val="-2"/>
          <w:sz w:val="21"/>
          <w:szCs w:val="21"/>
        </w:rPr>
        <w:t>A.</w:t>
      </w:r>
      <w:r>
        <w:rPr>
          <w:rFonts w:hint="eastAsia" w:ascii="黑体" w:hAnsi="黑体" w:eastAsia="黑体" w:cs="黑体"/>
          <w:spacing w:val="-2"/>
          <w:sz w:val="21"/>
          <w:szCs w:val="21"/>
          <w:lang w:val="en-US" w:eastAsia="zh-CN"/>
        </w:rPr>
        <w:t>2</w:t>
      </w:r>
      <w:r>
        <w:rPr>
          <w:rFonts w:ascii="黑体" w:hAnsi="黑体" w:eastAsia="黑体" w:cs="黑体"/>
          <w:spacing w:val="-2"/>
          <w:sz w:val="21"/>
          <w:szCs w:val="21"/>
        </w:rPr>
        <w:t>.</w:t>
      </w:r>
      <w:r>
        <w:rPr>
          <w:rFonts w:hint="eastAsia" w:ascii="黑体" w:hAnsi="黑体" w:eastAsia="黑体" w:cs="黑体"/>
          <w:spacing w:val="-2"/>
          <w:sz w:val="21"/>
          <w:szCs w:val="21"/>
          <w:lang w:val="en-US" w:eastAsia="zh-CN"/>
        </w:rPr>
        <w:t xml:space="preserve">7 </w:t>
      </w:r>
      <w:r>
        <w:rPr>
          <w:rFonts w:hint="eastAsia" w:ascii="Times New Roman" w:hAnsi="Times New Roman" w:cs="Times New Roman"/>
          <w:sz w:val="21"/>
          <w:szCs w:val="21"/>
        </w:rPr>
        <w:t>雾化气：氦气；</w:t>
      </w:r>
    </w:p>
    <w:p w14:paraId="71DC2583">
      <w:pPr>
        <w:keepLines w:val="0"/>
        <w:kinsoku/>
        <w:wordWrap/>
        <w:overflowPunct/>
        <w:topLinePunct w:val="0"/>
        <w:bidi w:val="0"/>
        <w:snapToGrid/>
        <w:spacing w:line="240" w:lineRule="auto"/>
        <w:textAlignment w:val="auto"/>
        <w:rPr>
          <w:rFonts w:ascii="Times New Roman" w:hAnsi="Times New Roman" w:cs="Times New Roman"/>
          <w:sz w:val="21"/>
          <w:szCs w:val="21"/>
        </w:rPr>
      </w:pPr>
      <w:r>
        <w:rPr>
          <w:rFonts w:ascii="黑体" w:hAnsi="黑体" w:eastAsia="黑体" w:cs="黑体"/>
          <w:spacing w:val="-2"/>
          <w:sz w:val="21"/>
          <w:szCs w:val="21"/>
        </w:rPr>
        <w:t>A.</w:t>
      </w:r>
      <w:r>
        <w:rPr>
          <w:rFonts w:hint="eastAsia" w:ascii="黑体" w:hAnsi="黑体" w:eastAsia="黑体" w:cs="黑体"/>
          <w:spacing w:val="-2"/>
          <w:sz w:val="21"/>
          <w:szCs w:val="21"/>
          <w:lang w:val="en-US" w:eastAsia="zh-CN"/>
        </w:rPr>
        <w:t>2</w:t>
      </w:r>
      <w:r>
        <w:rPr>
          <w:rFonts w:ascii="黑体" w:hAnsi="黑体" w:eastAsia="黑体" w:cs="黑体"/>
          <w:spacing w:val="-2"/>
          <w:sz w:val="21"/>
          <w:szCs w:val="21"/>
        </w:rPr>
        <w:t>.</w:t>
      </w:r>
      <w:r>
        <w:rPr>
          <w:rFonts w:hint="eastAsia" w:ascii="黑体" w:hAnsi="黑体" w:eastAsia="黑体" w:cs="黑体"/>
          <w:spacing w:val="-2"/>
          <w:sz w:val="21"/>
          <w:szCs w:val="21"/>
          <w:lang w:val="en-US" w:eastAsia="zh-CN"/>
        </w:rPr>
        <w:t xml:space="preserve">8 </w:t>
      </w:r>
      <w:r>
        <w:rPr>
          <w:rFonts w:hint="eastAsia" w:ascii="Times New Roman" w:hAnsi="Times New Roman" w:cs="Times New Roman"/>
          <w:sz w:val="21"/>
          <w:szCs w:val="21"/>
        </w:rPr>
        <w:t>色谱柱：C18  Horizon，5µm，4.6mm×250mm；</w:t>
      </w:r>
    </w:p>
    <w:p w14:paraId="022B1E4B">
      <w:pPr>
        <w:keepLines w:val="0"/>
        <w:kinsoku/>
        <w:wordWrap/>
        <w:overflowPunct/>
        <w:topLinePunct w:val="0"/>
        <w:bidi w:val="0"/>
        <w:snapToGrid/>
        <w:spacing w:line="240" w:lineRule="auto"/>
        <w:textAlignment w:val="auto"/>
        <w:rPr>
          <w:rFonts w:ascii="Times New Roman" w:hAnsi="Times New Roman" w:cs="Times New Roman"/>
          <w:sz w:val="21"/>
          <w:szCs w:val="21"/>
        </w:rPr>
      </w:pPr>
      <w:r>
        <w:rPr>
          <w:rFonts w:ascii="黑体" w:hAnsi="黑体" w:eastAsia="黑体" w:cs="黑体"/>
          <w:spacing w:val="-2"/>
          <w:sz w:val="21"/>
          <w:szCs w:val="21"/>
        </w:rPr>
        <w:t>A.</w:t>
      </w:r>
      <w:r>
        <w:rPr>
          <w:rFonts w:hint="eastAsia" w:ascii="黑体" w:hAnsi="黑体" w:eastAsia="黑体" w:cs="黑体"/>
          <w:spacing w:val="-2"/>
          <w:sz w:val="21"/>
          <w:szCs w:val="21"/>
          <w:lang w:val="en-US" w:eastAsia="zh-CN"/>
        </w:rPr>
        <w:t>2</w:t>
      </w:r>
      <w:r>
        <w:rPr>
          <w:rFonts w:ascii="黑体" w:hAnsi="黑体" w:eastAsia="黑体" w:cs="黑体"/>
          <w:spacing w:val="-2"/>
          <w:sz w:val="21"/>
          <w:szCs w:val="21"/>
        </w:rPr>
        <w:t>.</w:t>
      </w:r>
      <w:r>
        <w:rPr>
          <w:rFonts w:hint="eastAsia" w:ascii="黑体" w:hAnsi="黑体" w:eastAsia="黑体" w:cs="黑体"/>
          <w:spacing w:val="-2"/>
          <w:sz w:val="21"/>
          <w:szCs w:val="21"/>
          <w:lang w:val="en-US" w:eastAsia="zh-CN"/>
        </w:rPr>
        <w:t xml:space="preserve">9 </w:t>
      </w:r>
      <w:r>
        <w:rPr>
          <w:rFonts w:hint="eastAsia" w:ascii="Times New Roman" w:hAnsi="Times New Roman" w:cs="Times New Roman"/>
          <w:sz w:val="21"/>
          <w:szCs w:val="21"/>
        </w:rPr>
        <w:t>流速：0.5mL/min。</w:t>
      </w:r>
    </w:p>
    <w:p w14:paraId="65E9D8D1">
      <w:pPr>
        <w:jc w:val="center"/>
      </w:pPr>
      <w:r>
        <w:rPr>
          <w:rFonts w:hint="eastAsia"/>
        </w:rPr>
        <w:t>表A</w:t>
      </w:r>
      <w:r>
        <w:rPr>
          <w:rFonts w:hint="eastAsia"/>
          <w:lang w:val="en-US" w:eastAsia="zh-CN"/>
        </w:rPr>
        <w:t>.</w:t>
      </w:r>
      <w:r>
        <w:rPr>
          <w:rFonts w:hint="eastAsia"/>
        </w:rPr>
        <w:t>2 流动</w:t>
      </w:r>
      <w:r>
        <w:rPr>
          <w:rFonts w:hint="eastAsia"/>
          <w:lang w:val="en-US" w:eastAsia="zh-CN"/>
        </w:rPr>
        <w:t>项</w:t>
      </w:r>
      <w:r>
        <w:rPr>
          <w:rFonts w:hint="eastAsia"/>
        </w:rPr>
        <w:t>A、流动相B配置</w:t>
      </w:r>
    </w:p>
    <w:tbl>
      <w:tblPr>
        <w:tblStyle w:val="37"/>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1528"/>
        <w:gridCol w:w="1404"/>
        <w:gridCol w:w="2086"/>
        <w:gridCol w:w="2564"/>
      </w:tblGrid>
      <w:tr w14:paraId="1E25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2" w:type="dxa"/>
            <w:vAlign w:val="center"/>
          </w:tcPr>
          <w:p w14:paraId="795F9409">
            <w:pPr>
              <w:jc w:val="center"/>
              <w:rPr>
                <w:rFonts w:ascii="Times New Roman" w:hAnsi="Times New Roman" w:cs="Times New Roman"/>
              </w:rPr>
            </w:pPr>
            <w:r>
              <w:rPr>
                <w:rFonts w:hint="eastAsia"/>
              </w:rPr>
              <w:t>流动相</w:t>
            </w:r>
            <w:r>
              <w:rPr>
                <w:rFonts w:hint="eastAsia" w:ascii="Times New Roman" w:hAnsi="Times New Roman" w:cs="Times New Roman"/>
              </w:rPr>
              <w:t>A</w:t>
            </w:r>
          </w:p>
          <w:p w14:paraId="1513085D">
            <w:pPr>
              <w:jc w:val="center"/>
            </w:pPr>
            <w:r>
              <w:rPr>
                <w:rFonts w:hint="eastAsia"/>
              </w:rPr>
              <w:t>（以</w:t>
            </w:r>
            <w:r>
              <w:rPr>
                <w:rFonts w:hint="eastAsia" w:ascii="Times New Roman" w:hAnsi="Times New Roman" w:cs="Times New Roman"/>
              </w:rPr>
              <w:t>1L</w:t>
            </w:r>
            <w:r>
              <w:rPr>
                <w:rFonts w:hint="eastAsia"/>
              </w:rPr>
              <w:t>计算）</w:t>
            </w:r>
          </w:p>
        </w:tc>
        <w:tc>
          <w:tcPr>
            <w:tcW w:w="1528" w:type="dxa"/>
            <w:vAlign w:val="center"/>
          </w:tcPr>
          <w:p w14:paraId="09B625AF">
            <w:pPr>
              <w:jc w:val="center"/>
              <w:rPr>
                <w:rFonts w:ascii="Times New Roman" w:hAnsi="Times New Roman" w:cs="Times New Roman"/>
              </w:rPr>
            </w:pPr>
            <w:r>
              <w:rPr>
                <w:rFonts w:hint="eastAsia" w:ascii="Times New Roman" w:hAnsi="Times New Roman" w:cs="Times New Roman"/>
              </w:rPr>
              <w:t>0.075% HFIPA</w:t>
            </w:r>
          </w:p>
          <w:p w14:paraId="5A45213E">
            <w:pPr>
              <w:jc w:val="center"/>
              <w:rPr>
                <w:rFonts w:ascii="Times New Roman" w:hAnsi="Times New Roman" w:cs="Times New Roman"/>
              </w:rPr>
            </w:pPr>
            <w:r>
              <w:rPr>
                <w:rFonts w:hint="eastAsia" w:ascii="Times New Roman" w:hAnsi="Times New Roman" w:cs="Times New Roman"/>
              </w:rPr>
              <w:t>（750µL）</w:t>
            </w:r>
          </w:p>
        </w:tc>
        <w:tc>
          <w:tcPr>
            <w:tcW w:w="1404" w:type="dxa"/>
            <w:vAlign w:val="center"/>
          </w:tcPr>
          <w:p w14:paraId="701366AD">
            <w:pPr>
              <w:jc w:val="center"/>
              <w:rPr>
                <w:rFonts w:ascii="Times New Roman" w:hAnsi="Times New Roman" w:cs="Times New Roman"/>
              </w:rPr>
            </w:pPr>
            <w:r>
              <w:rPr>
                <w:rFonts w:hint="eastAsia" w:ascii="Times New Roman" w:hAnsi="Times New Roman" w:cs="Times New Roman"/>
              </w:rPr>
              <w:t>0.0375% DIPEA</w:t>
            </w:r>
          </w:p>
          <w:p w14:paraId="2EA13253">
            <w:pPr>
              <w:jc w:val="center"/>
              <w:rPr>
                <w:rFonts w:ascii="Times New Roman" w:hAnsi="Times New Roman" w:cs="Times New Roman"/>
              </w:rPr>
            </w:pPr>
            <w:r>
              <w:rPr>
                <w:rFonts w:hint="eastAsia" w:ascii="Times New Roman" w:hAnsi="Times New Roman" w:cs="Times New Roman"/>
              </w:rPr>
              <w:t>（375µL）</w:t>
            </w:r>
          </w:p>
        </w:tc>
        <w:tc>
          <w:tcPr>
            <w:tcW w:w="2086" w:type="dxa"/>
            <w:vAlign w:val="center"/>
          </w:tcPr>
          <w:p w14:paraId="2CD7D18F">
            <w:pPr>
              <w:jc w:val="center"/>
              <w:rPr>
                <w:rFonts w:ascii="Times New Roman" w:hAnsi="Times New Roman" w:cs="Times New Roman"/>
              </w:rPr>
            </w:pPr>
            <w:r>
              <w:rPr>
                <w:rFonts w:hint="eastAsia" w:ascii="Times New Roman" w:hAnsi="Times New Roman" w:cs="Times New Roman"/>
              </w:rPr>
              <w:t>10 µmol/L EDTA</w:t>
            </w:r>
          </w:p>
          <w:p w14:paraId="00040AC6">
            <w:pPr>
              <w:jc w:val="center"/>
              <w:rPr>
                <w:rFonts w:ascii="Times New Roman" w:hAnsi="Times New Roman" w:cs="Times New Roman"/>
              </w:rPr>
            </w:pPr>
            <w:r>
              <w:rPr>
                <w:rFonts w:hint="eastAsia" w:ascii="Times New Roman" w:hAnsi="Times New Roman" w:cs="Times New Roman"/>
              </w:rPr>
              <w:t>10mL 1mmol/L EDTA</w:t>
            </w:r>
          </w:p>
        </w:tc>
        <w:tc>
          <w:tcPr>
            <w:tcW w:w="2564" w:type="dxa"/>
            <w:vAlign w:val="center"/>
          </w:tcPr>
          <w:p w14:paraId="10195989">
            <w:pPr>
              <w:jc w:val="center"/>
              <w:rPr>
                <w:rFonts w:ascii="Times New Roman" w:hAnsi="Times New Roman" w:cs="Times New Roman"/>
              </w:rPr>
            </w:pPr>
            <w:r>
              <w:rPr>
                <w:rFonts w:hint="eastAsia" w:ascii="Times New Roman" w:hAnsi="Times New Roman" w:cs="Times New Roman"/>
              </w:rPr>
              <w:t>100% H</w:t>
            </w:r>
            <w:r>
              <w:rPr>
                <w:rFonts w:ascii="Times New Roman" w:hAnsi="Times New Roman" w:cs="Times New Roman"/>
              </w:rPr>
              <w:t>₂</w:t>
            </w:r>
            <w:r>
              <w:rPr>
                <w:rFonts w:hint="eastAsia" w:ascii="Times New Roman" w:hAnsi="Times New Roman" w:cs="Times New Roman"/>
              </w:rPr>
              <w:t>O</w:t>
            </w:r>
          </w:p>
          <w:p w14:paraId="34D651BB">
            <w:pPr>
              <w:jc w:val="center"/>
              <w:rPr>
                <w:rFonts w:ascii="Times New Roman" w:hAnsi="Times New Roman" w:cs="Times New Roman"/>
              </w:rPr>
            </w:pPr>
            <w:r>
              <w:rPr>
                <w:rFonts w:hint="eastAsia" w:ascii="Times New Roman" w:hAnsi="Times New Roman" w:cs="Times New Roman"/>
              </w:rPr>
              <w:t>（990mL H</w:t>
            </w:r>
            <w:r>
              <w:rPr>
                <w:rFonts w:ascii="Times New Roman" w:hAnsi="Times New Roman" w:cs="Times New Roman"/>
              </w:rPr>
              <w:t>₂</w:t>
            </w:r>
            <w:r>
              <w:rPr>
                <w:rFonts w:hint="eastAsia" w:ascii="Times New Roman" w:hAnsi="Times New Roman" w:cs="Times New Roman"/>
              </w:rPr>
              <w:t>O）</w:t>
            </w:r>
          </w:p>
        </w:tc>
      </w:tr>
      <w:tr w14:paraId="4530B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2" w:type="dxa"/>
            <w:vAlign w:val="center"/>
          </w:tcPr>
          <w:p w14:paraId="54879FC1">
            <w:pPr>
              <w:jc w:val="center"/>
              <w:rPr>
                <w:rFonts w:ascii="Times New Roman" w:hAnsi="Times New Roman" w:cs="Times New Roman"/>
              </w:rPr>
            </w:pPr>
            <w:r>
              <w:rPr>
                <w:rFonts w:hint="eastAsia"/>
              </w:rPr>
              <w:t>流动相</w:t>
            </w:r>
            <w:r>
              <w:rPr>
                <w:rFonts w:hint="eastAsia" w:ascii="Times New Roman" w:hAnsi="Times New Roman" w:cs="Times New Roman"/>
              </w:rPr>
              <w:t>B</w:t>
            </w:r>
          </w:p>
          <w:p w14:paraId="196FDCD0">
            <w:pPr>
              <w:jc w:val="center"/>
            </w:pPr>
            <w:r>
              <w:rPr>
                <w:rFonts w:hint="eastAsia"/>
              </w:rPr>
              <w:t>（以</w:t>
            </w:r>
            <w:r>
              <w:rPr>
                <w:rFonts w:hint="eastAsia" w:ascii="Times New Roman" w:hAnsi="Times New Roman" w:cs="Times New Roman"/>
              </w:rPr>
              <w:t>1L</w:t>
            </w:r>
            <w:r>
              <w:rPr>
                <w:rFonts w:hint="eastAsia"/>
              </w:rPr>
              <w:t>计算）</w:t>
            </w:r>
          </w:p>
        </w:tc>
        <w:tc>
          <w:tcPr>
            <w:tcW w:w="1528" w:type="dxa"/>
            <w:vAlign w:val="center"/>
          </w:tcPr>
          <w:p w14:paraId="52473C45">
            <w:pPr>
              <w:jc w:val="center"/>
              <w:rPr>
                <w:rFonts w:ascii="Times New Roman" w:hAnsi="Times New Roman" w:cs="Times New Roman"/>
              </w:rPr>
            </w:pPr>
            <w:r>
              <w:rPr>
                <w:rFonts w:hint="eastAsia" w:ascii="Times New Roman" w:hAnsi="Times New Roman" w:cs="Times New Roman"/>
              </w:rPr>
              <w:t>0.075% HFIPA</w:t>
            </w:r>
          </w:p>
          <w:p w14:paraId="4E34D304">
            <w:pPr>
              <w:jc w:val="center"/>
              <w:rPr>
                <w:rFonts w:ascii="Times New Roman" w:hAnsi="Times New Roman" w:cs="Times New Roman"/>
              </w:rPr>
            </w:pPr>
            <w:r>
              <w:rPr>
                <w:rFonts w:hint="eastAsia" w:ascii="Times New Roman" w:hAnsi="Times New Roman" w:cs="Times New Roman"/>
              </w:rPr>
              <w:t>（750µL）</w:t>
            </w:r>
          </w:p>
        </w:tc>
        <w:tc>
          <w:tcPr>
            <w:tcW w:w="1404" w:type="dxa"/>
            <w:vAlign w:val="center"/>
          </w:tcPr>
          <w:p w14:paraId="77AAA89A">
            <w:pPr>
              <w:jc w:val="center"/>
              <w:rPr>
                <w:rFonts w:ascii="Times New Roman" w:hAnsi="Times New Roman" w:cs="Times New Roman"/>
              </w:rPr>
            </w:pPr>
            <w:r>
              <w:rPr>
                <w:rFonts w:hint="eastAsia" w:ascii="Times New Roman" w:hAnsi="Times New Roman" w:cs="Times New Roman"/>
              </w:rPr>
              <w:t>0.0375% DIPEA</w:t>
            </w:r>
          </w:p>
          <w:p w14:paraId="42B65B53">
            <w:pPr>
              <w:jc w:val="center"/>
              <w:rPr>
                <w:rFonts w:ascii="Times New Roman" w:hAnsi="Times New Roman" w:cs="Times New Roman"/>
              </w:rPr>
            </w:pPr>
            <w:r>
              <w:rPr>
                <w:rFonts w:hint="eastAsia" w:ascii="Times New Roman" w:hAnsi="Times New Roman" w:cs="Times New Roman"/>
              </w:rPr>
              <w:t>（375µL）</w:t>
            </w:r>
          </w:p>
        </w:tc>
        <w:tc>
          <w:tcPr>
            <w:tcW w:w="2086" w:type="dxa"/>
            <w:vAlign w:val="center"/>
          </w:tcPr>
          <w:p w14:paraId="003CEF79">
            <w:pPr>
              <w:jc w:val="center"/>
              <w:rPr>
                <w:rFonts w:ascii="Times New Roman" w:hAnsi="Times New Roman" w:cs="Times New Roman"/>
              </w:rPr>
            </w:pPr>
            <w:r>
              <w:rPr>
                <w:rFonts w:hint="eastAsia" w:ascii="Times New Roman" w:hAnsi="Times New Roman" w:cs="Times New Roman"/>
              </w:rPr>
              <w:t>10 µmol/L EDTA</w:t>
            </w:r>
          </w:p>
          <w:p w14:paraId="7B79859A">
            <w:pPr>
              <w:jc w:val="center"/>
              <w:rPr>
                <w:rFonts w:ascii="Times New Roman" w:hAnsi="Times New Roman" w:cs="Times New Roman"/>
              </w:rPr>
            </w:pPr>
            <w:r>
              <w:rPr>
                <w:rFonts w:hint="eastAsia" w:ascii="Times New Roman" w:hAnsi="Times New Roman" w:cs="Times New Roman"/>
              </w:rPr>
              <w:t>10 mL 1mmol/L EDTA</w:t>
            </w:r>
          </w:p>
        </w:tc>
        <w:tc>
          <w:tcPr>
            <w:tcW w:w="2564" w:type="dxa"/>
            <w:vAlign w:val="center"/>
          </w:tcPr>
          <w:p w14:paraId="1235FE1C">
            <w:pPr>
              <w:jc w:val="center"/>
              <w:rPr>
                <w:rFonts w:ascii="Times New Roman" w:hAnsi="Times New Roman" w:cs="Times New Roman"/>
              </w:rPr>
            </w:pPr>
            <w:r>
              <w:rPr>
                <w:rFonts w:hint="eastAsia" w:ascii="Times New Roman" w:hAnsi="Times New Roman" w:cs="Times New Roman"/>
              </w:rPr>
              <w:t>80% ACN,20% H</w:t>
            </w:r>
            <w:r>
              <w:rPr>
                <w:rFonts w:ascii="Times New Roman" w:hAnsi="Times New Roman" w:cs="Times New Roman"/>
              </w:rPr>
              <w:t>₂</w:t>
            </w:r>
            <w:r>
              <w:rPr>
                <w:rFonts w:hint="eastAsia" w:ascii="Times New Roman" w:hAnsi="Times New Roman" w:cs="Times New Roman"/>
              </w:rPr>
              <w:t>O</w:t>
            </w:r>
          </w:p>
          <w:p w14:paraId="443EE7C7">
            <w:pPr>
              <w:jc w:val="center"/>
              <w:rPr>
                <w:rFonts w:ascii="Times New Roman" w:hAnsi="Times New Roman" w:cs="Times New Roman"/>
              </w:rPr>
            </w:pPr>
            <w:r>
              <w:rPr>
                <w:rFonts w:hint="eastAsia" w:ascii="Times New Roman" w:hAnsi="Times New Roman" w:cs="Times New Roman"/>
              </w:rPr>
              <w:t>（800mLACN, 190mL H</w:t>
            </w:r>
            <w:r>
              <w:rPr>
                <w:rFonts w:ascii="Times New Roman" w:hAnsi="Times New Roman" w:cs="Times New Roman"/>
              </w:rPr>
              <w:t>₂</w:t>
            </w:r>
            <w:r>
              <w:rPr>
                <w:rFonts w:hint="eastAsia" w:ascii="Times New Roman" w:hAnsi="Times New Roman" w:cs="Times New Roman"/>
              </w:rPr>
              <w:t>O）</w:t>
            </w:r>
          </w:p>
        </w:tc>
      </w:tr>
    </w:tbl>
    <w:p w14:paraId="5396D075">
      <w:pPr>
        <w:pStyle w:val="3"/>
        <w:keepNext w:val="0"/>
        <w:keepLines w:val="0"/>
        <w:pageBreakBefore w:val="0"/>
        <w:widowControl w:val="0"/>
        <w:tabs>
          <w:tab w:val="left" w:pos="422"/>
          <w:tab w:val="left" w:pos="842"/>
        </w:tabs>
        <w:kinsoku/>
        <w:wordWrap/>
        <w:overflowPunct/>
        <w:topLinePunct w:val="0"/>
        <w:autoSpaceDE w:val="0"/>
        <w:autoSpaceDN w:val="0"/>
        <w:bidi w:val="0"/>
        <w:adjustRightInd/>
        <w:snapToGrid/>
        <w:spacing w:before="71" w:line="240" w:lineRule="auto"/>
        <w:ind w:right="493"/>
        <w:jc w:val="center"/>
        <w:textAlignment w:val="auto"/>
        <w:outlineLvl w:val="0"/>
        <w:rPr>
          <w:rFonts w:hint="eastAsia" w:ascii="黑体" w:eastAsia="黑体"/>
        </w:rPr>
      </w:pPr>
      <w:bookmarkStart w:id="73" w:name="_Toc5775"/>
    </w:p>
    <w:p w14:paraId="4319A5A5">
      <w:pPr>
        <w:rPr>
          <w:rFonts w:hint="eastAsia" w:ascii="黑体" w:eastAsia="黑体"/>
        </w:rPr>
      </w:pPr>
      <w:r>
        <w:rPr>
          <w:rFonts w:hint="eastAsia" w:ascii="黑体" w:eastAsia="黑体"/>
        </w:rPr>
        <w:br w:type="page"/>
      </w:r>
    </w:p>
    <w:p w14:paraId="42B011F6">
      <w:pPr>
        <w:pStyle w:val="3"/>
        <w:keepNext w:val="0"/>
        <w:keepLines w:val="0"/>
        <w:pageBreakBefore w:val="0"/>
        <w:widowControl w:val="0"/>
        <w:tabs>
          <w:tab w:val="left" w:pos="422"/>
          <w:tab w:val="left" w:pos="842"/>
        </w:tabs>
        <w:kinsoku/>
        <w:wordWrap/>
        <w:overflowPunct/>
        <w:topLinePunct w:val="0"/>
        <w:autoSpaceDE w:val="0"/>
        <w:autoSpaceDN w:val="0"/>
        <w:bidi w:val="0"/>
        <w:adjustRightInd/>
        <w:snapToGrid/>
        <w:spacing w:before="71" w:line="240" w:lineRule="auto"/>
        <w:ind w:right="493"/>
        <w:jc w:val="center"/>
        <w:textAlignment w:val="auto"/>
        <w:outlineLvl w:val="0"/>
        <w:rPr>
          <w:rFonts w:ascii="黑体" w:eastAsia="黑体"/>
        </w:rPr>
      </w:pPr>
      <w:r>
        <w:rPr>
          <w:rFonts w:hint="eastAsia" w:ascii="黑体" w:eastAsia="黑体"/>
        </w:rPr>
        <w:t>参</w:t>
      </w:r>
      <w:r>
        <w:rPr>
          <w:rFonts w:hint="eastAsia" w:ascii="黑体" w:eastAsia="黑体"/>
          <w:lang w:val="en-US" w:eastAsia="zh-CN"/>
        </w:rPr>
        <w:t xml:space="preserve"> </w:t>
      </w:r>
      <w:r>
        <w:rPr>
          <w:rFonts w:hint="eastAsia" w:ascii="黑体" w:eastAsia="黑体"/>
        </w:rPr>
        <w:t>考</w:t>
      </w:r>
      <w:r>
        <w:rPr>
          <w:rFonts w:hint="eastAsia" w:ascii="黑体" w:eastAsia="黑体"/>
          <w:lang w:val="en-US" w:eastAsia="zh-CN"/>
        </w:rPr>
        <w:t xml:space="preserve"> </w:t>
      </w:r>
      <w:r>
        <w:rPr>
          <w:rFonts w:ascii="黑体" w:eastAsia="黑体"/>
        </w:rPr>
        <w:t>文</w:t>
      </w:r>
      <w:r>
        <w:rPr>
          <w:rFonts w:hint="eastAsia" w:ascii="黑体" w:eastAsia="黑体"/>
          <w:lang w:val="en-US" w:eastAsia="zh-CN"/>
        </w:rPr>
        <w:t xml:space="preserve"> </w:t>
      </w:r>
      <w:r>
        <w:rPr>
          <w:rFonts w:ascii="黑体" w:eastAsia="黑体"/>
        </w:rPr>
        <w:t>献</w:t>
      </w:r>
      <w:bookmarkEnd w:id="73"/>
    </w:p>
    <w:p w14:paraId="6900C1C0">
      <w:pPr>
        <w:keepLines w:val="0"/>
        <w:kinsoku/>
        <w:wordWrap/>
        <w:overflowPunct/>
        <w:topLinePunct w:val="0"/>
        <w:bidi w:val="0"/>
        <w:snapToGrid/>
        <w:spacing w:line="240" w:lineRule="auto"/>
        <w:ind w:firstLine="420" w:firstLineChars="200"/>
        <w:jc w:val="center"/>
        <w:textAlignment w:val="auto"/>
        <w:rPr>
          <w:rFonts w:ascii="Times New Roman" w:hAnsi="Times New Roman" w:cs="Times New Roman"/>
          <w:sz w:val="21"/>
          <w:szCs w:val="21"/>
        </w:rPr>
      </w:pPr>
    </w:p>
    <w:p w14:paraId="72B5A6E3">
      <w:pPr>
        <w:keepLines w:val="0"/>
        <w:kinsoku/>
        <w:wordWrap/>
        <w:overflowPunct/>
        <w:topLinePunct w:val="0"/>
        <w:bidi w:val="0"/>
        <w:snapToGrid/>
        <w:spacing w:line="240" w:lineRule="auto"/>
        <w:ind w:firstLine="420" w:firstLineChars="200"/>
        <w:textAlignment w:val="auto"/>
        <w:rPr>
          <w:rFonts w:ascii="Times New Roman" w:hAnsi="Times New Roman" w:cs="Times New Roman"/>
          <w:sz w:val="21"/>
          <w:szCs w:val="21"/>
        </w:rPr>
      </w:pPr>
    </w:p>
    <w:p w14:paraId="34E056E5">
      <w:pPr>
        <w:pStyle w:val="25"/>
        <w:keepLines w:val="0"/>
        <w:kinsoku/>
        <w:wordWrap/>
        <w:overflowPunct/>
        <w:topLinePunct w:val="0"/>
        <w:bidi w:val="0"/>
        <w:snapToGrid/>
        <w:spacing w:line="240" w:lineRule="auto"/>
        <w:textAlignment w:val="auto"/>
        <w:rPr>
          <w:rFonts w:ascii="Times New Roman"/>
          <w:color w:val="000000"/>
        </w:rPr>
      </w:pPr>
      <w:r>
        <w:rPr>
          <w:rFonts w:ascii="Times New Roman"/>
          <w:color w:val="000000"/>
        </w:rPr>
        <w:t xml:space="preserve">[1] </w:t>
      </w:r>
      <w:r>
        <w:rPr>
          <w:rFonts w:hint="eastAsia" w:ascii="Times New Roman"/>
          <w:color w:val="000000"/>
        </w:rPr>
        <w:t>Proc .Natl .Acad .Sci .,1992 ,89 ,5381)</w:t>
      </w:r>
    </w:p>
    <w:p w14:paraId="5D2388E2">
      <w:pPr>
        <w:pStyle w:val="25"/>
        <w:rPr>
          <w:rFonts w:hint="eastAsia" w:ascii="宋体" w:hAnsi="宋体" w:eastAsia="宋体" w:cs="宋体"/>
          <w:color w:val="000000"/>
          <w:kern w:val="2"/>
          <w:sz w:val="21"/>
          <w:szCs w:val="21"/>
          <w:highlight w:val="none"/>
          <w:lang w:val="en-US" w:eastAsia="zh-CN" w:bidi="ar-SA"/>
        </w:rPr>
      </w:pPr>
    </w:p>
    <w:sectPr>
      <w:pgSz w:w="11906" w:h="16838"/>
      <w:pgMar w:top="567" w:right="1134" w:bottom="1134" w:left="1418" w:header="1418" w:footer="1134" w:gutter="0"/>
      <w:pgNumType w:start="1"/>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8620219"/>
    </w:sdtPr>
    <w:sdtEndPr>
      <w:rPr>
        <w:rFonts w:asciiTheme="minorEastAsia" w:hAnsiTheme="minorEastAsia" w:eastAsiaTheme="minorEastAsia"/>
      </w:rPr>
    </w:sdtEndPr>
    <w:sdtContent>
      <w:p w14:paraId="12E5B4FF">
        <w:pPr>
          <w:pStyle w:val="19"/>
          <w:jc w:val="left"/>
          <w:rPr>
            <w:rFonts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 PAGE   \* MERGEFORMAT </w:instrText>
        </w:r>
        <w:r>
          <w:rPr>
            <w:rFonts w:asciiTheme="minorEastAsia" w:hAnsiTheme="minorEastAsia" w:eastAsiaTheme="minorEastAsia"/>
          </w:rPr>
          <w:fldChar w:fldCharType="separate"/>
        </w:r>
        <w:r>
          <w:rPr>
            <w:rFonts w:asciiTheme="minorEastAsia" w:hAnsiTheme="minorEastAsia" w:eastAsiaTheme="minorEastAsia"/>
            <w:lang w:val="zh-CN"/>
          </w:rPr>
          <w:t>4</w:t>
        </w:r>
        <w:r>
          <w:rPr>
            <w:rFonts w:asciiTheme="minorEastAsia" w:hAnsiTheme="minorEastAsia" w:eastAsiaTheme="minorEastAsia"/>
            <w:lang w:val="zh-CN"/>
          </w:rPr>
          <w:fldChar w:fldCharType="end"/>
        </w:r>
      </w:p>
    </w:sdtContent>
  </w:sdt>
  <w:p w14:paraId="1A00D80A">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9E2AC">
    <w:pPr>
      <w:pStyle w:val="48"/>
    </w:pPr>
    <w:r>
      <w:fldChar w:fldCharType="begin"/>
    </w:r>
    <w:r>
      <w:instrText xml:space="preserve"> PAGE  \* MERGEFORMAT </w:instrText>
    </w:r>
    <w:r>
      <w:fldChar w:fldCharType="separate"/>
    </w:r>
    <w:r>
      <w:t>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87452">
    <w:pPr>
      <w:pStyle w:val="74"/>
      <w:rPr>
        <w:rFonts w:hint="default" w:eastAsia="黑体"/>
        <w:lang w:val="en-US" w:eastAsia="zh-CN"/>
      </w:rPr>
    </w:pPr>
    <w:r>
      <w:t>T/</w:t>
    </w:r>
    <w:r>
      <w:rPr>
        <w:rFonts w:hint="eastAsia"/>
      </w:rPr>
      <w:t>SPEMF 00-20</w:t>
    </w:r>
    <w:r>
      <w:rPr>
        <w:rFonts w:hint="eastAsia"/>
        <w:lang w:val="en-US" w:eastAsia="zh-CN"/>
      </w:rPr>
      <w:t>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23AC2">
    <w:pPr>
      <w:pStyle w:val="20"/>
      <w:jc w:val="right"/>
      <w:rPr>
        <w:rFonts w:hint="default"/>
        <w:lang w:val="en-US" w:eastAsia="zh-CN"/>
      </w:rPr>
    </w:pPr>
    <w:r>
      <w:rPr>
        <w:rFonts w:hAnsi="黑体"/>
      </w:rPr>
      <w:t>T/</w:t>
    </w:r>
    <w:r>
      <w:rPr>
        <w:rFonts w:hint="eastAsia" w:hAnsi="黑体"/>
        <w:lang w:val="en-US" w:eastAsia="zh-CN"/>
      </w:rPr>
      <w:t>SZLSBA</w:t>
    </w:r>
    <w:r>
      <w:rPr>
        <w:rFonts w:hAnsi="黑体"/>
      </w:rPr>
      <w:t xml:space="preserve"> </w:t>
    </w:r>
    <w:r>
      <w:rPr>
        <w:rFonts w:hint="eastAsia" w:hAnsi="黑体"/>
        <w:lang w:val="en-US" w:eastAsia="zh-CN"/>
      </w:rPr>
      <w:t>XX</w:t>
    </w:r>
    <w:r>
      <w:rPr>
        <w:rFonts w:hint="eastAsia" w:hAnsi="黑体"/>
      </w:rPr>
      <w:t>-20</w:t>
    </w:r>
    <w:r>
      <w:rPr>
        <w:rFonts w:hint="eastAsia" w:hAnsi="黑体"/>
        <w:lang w:val="en-US" w:eastAsia="zh-CN"/>
      </w:rPr>
      <w:t>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952887"/>
    <w:multiLevelType w:val="multilevel"/>
    <w:tmpl w:val="0A952887"/>
    <w:lvl w:ilvl="0" w:tentative="0">
      <w:start w:val="1"/>
      <w:numFmt w:val="decimal"/>
      <w:pStyle w:val="70"/>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
    <w:nsid w:val="0F805D97"/>
    <w:multiLevelType w:val="multilevel"/>
    <w:tmpl w:val="0F805D97"/>
    <w:lvl w:ilvl="0" w:tentative="0">
      <w:start w:val="1"/>
      <w:numFmt w:val="none"/>
      <w:pStyle w:val="62"/>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1985"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24B435DB"/>
    <w:multiLevelType w:val="multilevel"/>
    <w:tmpl w:val="24B435DB"/>
    <w:lvl w:ilvl="0" w:tentative="0">
      <w:start w:val="1"/>
      <w:numFmt w:val="lowerLetter"/>
      <w:pStyle w:val="126"/>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29707437"/>
    <w:multiLevelType w:val="multilevel"/>
    <w:tmpl w:val="29707437"/>
    <w:lvl w:ilvl="0" w:tentative="0">
      <w:start w:val="1"/>
      <w:numFmt w:val="none"/>
      <w:pStyle w:val="69"/>
      <w:suff w:val="nothing"/>
      <w:lvlText w:val="%1注："/>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2A8F7113"/>
    <w:multiLevelType w:val="multilevel"/>
    <w:tmpl w:val="2A8F7113"/>
    <w:lvl w:ilvl="0" w:tentative="0">
      <w:start w:val="1"/>
      <w:numFmt w:val="upperLetter"/>
      <w:pStyle w:val="103"/>
      <w:suff w:val="space"/>
      <w:lvlText w:val="%1"/>
      <w:lvlJc w:val="left"/>
      <w:pPr>
        <w:ind w:left="623" w:hanging="425"/>
      </w:pPr>
      <w:rPr>
        <w:rFonts w:hint="eastAsia"/>
      </w:rPr>
    </w:lvl>
    <w:lvl w:ilvl="1" w:tentative="0">
      <w:start w:val="1"/>
      <w:numFmt w:val="decimal"/>
      <w:pStyle w:val="104"/>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6">
    <w:nsid w:val="2C5917C3"/>
    <w:multiLevelType w:val="multilevel"/>
    <w:tmpl w:val="2C5917C3"/>
    <w:lvl w:ilvl="0" w:tentative="0">
      <w:start w:val="1"/>
      <w:numFmt w:val="none"/>
      <w:pStyle w:val="53"/>
      <w:suff w:val="nothing"/>
      <w:lvlText w:val="%1——"/>
      <w:lvlJc w:val="left"/>
      <w:pPr>
        <w:ind w:left="833" w:hanging="408"/>
      </w:pPr>
      <w:rPr>
        <w:rFonts w:hint="eastAsia"/>
      </w:rPr>
    </w:lvl>
    <w:lvl w:ilvl="1" w:tentative="0">
      <w:start w:val="1"/>
      <w:numFmt w:val="bullet"/>
      <w:pStyle w:val="54"/>
      <w:lvlText w:val=""/>
      <w:lvlJc w:val="left"/>
      <w:pPr>
        <w:tabs>
          <w:tab w:val="left" w:pos="760"/>
        </w:tabs>
        <w:ind w:left="1264" w:hanging="413"/>
      </w:pPr>
      <w:rPr>
        <w:rFonts w:hint="default" w:ascii="Symbol" w:hAnsi="Symbol"/>
        <w:color w:val="auto"/>
      </w:rPr>
    </w:lvl>
    <w:lvl w:ilvl="2" w:tentative="0">
      <w:start w:val="1"/>
      <w:numFmt w:val="bullet"/>
      <w:pStyle w:val="65"/>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7">
    <w:nsid w:val="3D0D5856"/>
    <w:multiLevelType w:val="multilevel"/>
    <w:tmpl w:val="3D0D5856"/>
    <w:lvl w:ilvl="0" w:tentative="0">
      <w:start w:val="1"/>
      <w:numFmt w:val="lowerLetter"/>
      <w:pStyle w:val="64"/>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59"/>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66"/>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8">
    <w:nsid w:val="3D733618"/>
    <w:multiLevelType w:val="multilevel"/>
    <w:tmpl w:val="3D733618"/>
    <w:lvl w:ilvl="0" w:tentative="0">
      <w:start w:val="1"/>
      <w:numFmt w:val="decimal"/>
      <w:pStyle w:val="26"/>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9">
    <w:nsid w:val="520F62E9"/>
    <w:multiLevelType w:val="multilevel"/>
    <w:tmpl w:val="520F62E9"/>
    <w:lvl w:ilvl="0" w:tentative="0">
      <w:start w:val="1"/>
      <w:numFmt w:val="decimal"/>
      <w:pStyle w:val="133"/>
      <w:suff w:val="nothing"/>
      <w:lvlText w:val="图%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0">
    <w:nsid w:val="5E63562F"/>
    <w:multiLevelType w:val="multilevel"/>
    <w:tmpl w:val="5E63562F"/>
    <w:lvl w:ilvl="0" w:tentative="0">
      <w:start w:val="1"/>
      <w:numFmt w:val="decimal"/>
      <w:pStyle w:val="63"/>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1">
    <w:nsid w:val="60B55DC2"/>
    <w:multiLevelType w:val="multilevel"/>
    <w:tmpl w:val="60B55DC2"/>
    <w:lvl w:ilvl="0" w:tentative="0">
      <w:start w:val="1"/>
      <w:numFmt w:val="upperLetter"/>
      <w:pStyle w:val="91"/>
      <w:lvlText w:val="%1"/>
      <w:lvlJc w:val="left"/>
      <w:pPr>
        <w:tabs>
          <w:tab w:val="left" w:pos="0"/>
        </w:tabs>
        <w:ind w:left="0" w:hanging="425"/>
      </w:pPr>
      <w:rPr>
        <w:rFonts w:hint="eastAsia"/>
      </w:rPr>
    </w:lvl>
    <w:lvl w:ilvl="1" w:tentative="0">
      <w:start w:val="1"/>
      <w:numFmt w:val="decimal"/>
      <w:pStyle w:val="92"/>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2">
    <w:nsid w:val="63404DBE"/>
    <w:multiLevelType w:val="multilevel"/>
    <w:tmpl w:val="63404DBE"/>
    <w:lvl w:ilvl="0" w:tentative="0">
      <w:start w:val="1"/>
      <w:numFmt w:val="none"/>
      <w:pStyle w:val="57"/>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3">
    <w:nsid w:val="63AF7EBF"/>
    <w:multiLevelType w:val="multilevel"/>
    <w:tmpl w:val="63AF7EBF"/>
    <w:lvl w:ilvl="0" w:tentative="0">
      <w:start w:val="1"/>
      <w:numFmt w:val="decimal"/>
      <w:pStyle w:val="131"/>
      <w:suff w:val="nothing"/>
      <w:lvlText w:val="表%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4">
    <w:nsid w:val="657D3FBC"/>
    <w:multiLevelType w:val="multilevel"/>
    <w:tmpl w:val="657D3FBC"/>
    <w:lvl w:ilvl="0" w:tentative="0">
      <w:start w:val="1"/>
      <w:numFmt w:val="upperLetter"/>
      <w:pStyle w:val="89"/>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7"/>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8"/>
      <w:suff w:val="nothing"/>
      <w:lvlText w:val="%1.%2.%3　"/>
      <w:lvlJc w:val="left"/>
      <w:pPr>
        <w:ind w:left="0" w:firstLine="0"/>
      </w:pPr>
      <w:rPr>
        <w:rFonts w:hint="eastAsia" w:ascii="黑体" w:hAnsi="Times New Roman" w:eastAsia="黑体"/>
        <w:b w:val="0"/>
        <w:i w:val="0"/>
        <w:sz w:val="21"/>
      </w:rPr>
    </w:lvl>
    <w:lvl w:ilvl="3" w:tentative="0">
      <w:start w:val="1"/>
      <w:numFmt w:val="decimal"/>
      <w:pStyle w:val="93"/>
      <w:suff w:val="nothing"/>
      <w:lvlText w:val="%1.%2.%3.%4　"/>
      <w:lvlJc w:val="left"/>
      <w:pPr>
        <w:ind w:left="0" w:firstLine="0"/>
      </w:pPr>
      <w:rPr>
        <w:rFonts w:hint="eastAsia" w:ascii="黑体" w:hAnsi="Times New Roman" w:eastAsia="黑体"/>
        <w:b w:val="0"/>
        <w:i w:val="0"/>
        <w:sz w:val="21"/>
      </w:rPr>
    </w:lvl>
    <w:lvl w:ilvl="4" w:tentative="0">
      <w:start w:val="1"/>
      <w:numFmt w:val="decimal"/>
      <w:pStyle w:val="98"/>
      <w:suff w:val="nothing"/>
      <w:lvlText w:val="%1.%2.%3.%4.%5　"/>
      <w:lvlJc w:val="left"/>
      <w:pPr>
        <w:ind w:left="0" w:firstLine="0"/>
      </w:pPr>
      <w:rPr>
        <w:rFonts w:hint="eastAsia" w:ascii="黑体" w:hAnsi="Times New Roman" w:eastAsia="黑体"/>
        <w:b w:val="0"/>
        <w:i w:val="0"/>
        <w:sz w:val="21"/>
      </w:rPr>
    </w:lvl>
    <w:lvl w:ilvl="5" w:tentative="0">
      <w:start w:val="1"/>
      <w:numFmt w:val="decimal"/>
      <w:pStyle w:val="101"/>
      <w:suff w:val="nothing"/>
      <w:lvlText w:val="%1.%2.%3.%4.%5.%6　"/>
      <w:lvlJc w:val="left"/>
      <w:pPr>
        <w:ind w:left="0" w:firstLine="0"/>
      </w:pPr>
      <w:rPr>
        <w:rFonts w:hint="eastAsia" w:ascii="黑体" w:hAnsi="Times New Roman" w:eastAsia="黑体"/>
        <w:b w:val="0"/>
        <w:i w:val="0"/>
        <w:sz w:val="21"/>
      </w:rPr>
    </w:lvl>
    <w:lvl w:ilvl="6" w:tentative="0">
      <w:start w:val="1"/>
      <w:numFmt w:val="decimal"/>
      <w:pStyle w:val="105"/>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AB870ED"/>
    <w:multiLevelType w:val="multilevel"/>
    <w:tmpl w:val="6AB870ED"/>
    <w:lvl w:ilvl="0" w:tentative="0">
      <w:start w:val="1"/>
      <w:numFmt w:val="decimal"/>
      <w:pStyle w:val="67"/>
      <w:suff w:val="nothing"/>
      <w:lvlText w:val="示例%1："/>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6">
    <w:nsid w:val="6D6C07CD"/>
    <w:multiLevelType w:val="multilevel"/>
    <w:tmpl w:val="6D6C07CD"/>
    <w:lvl w:ilvl="0" w:tentative="0">
      <w:start w:val="1"/>
      <w:numFmt w:val="lowerLetter"/>
      <w:pStyle w:val="110"/>
      <w:lvlText w:val="%1)"/>
      <w:lvlJc w:val="left"/>
      <w:pPr>
        <w:tabs>
          <w:tab w:val="left" w:pos="839"/>
        </w:tabs>
        <w:ind w:left="839" w:hanging="419"/>
      </w:pPr>
      <w:rPr>
        <w:rFonts w:hint="eastAsia" w:ascii="宋体" w:eastAsia="宋体"/>
        <w:b w:val="0"/>
        <w:i w:val="0"/>
        <w:sz w:val="21"/>
      </w:rPr>
    </w:lvl>
    <w:lvl w:ilvl="1" w:tentative="0">
      <w:start w:val="1"/>
      <w:numFmt w:val="decimal"/>
      <w:pStyle w:val="100"/>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7">
    <w:nsid w:val="7350001E"/>
    <w:multiLevelType w:val="multilevel"/>
    <w:tmpl w:val="7350001E"/>
    <w:lvl w:ilvl="0" w:tentative="0">
      <w:start w:val="1"/>
      <w:numFmt w:val="decimal"/>
      <w:pStyle w:val="50"/>
      <w:suff w:val="nothing"/>
      <w:lvlText w:val="%1　"/>
      <w:lvlJc w:val="left"/>
      <w:pPr>
        <w:ind w:left="426" w:firstLine="0"/>
      </w:pPr>
      <w:rPr>
        <w:rFonts w:hint="eastAsia" w:ascii="黑体" w:hAnsi="Times New Roman" w:eastAsia="黑体"/>
        <w:b w:val="0"/>
        <w:i w:val="0"/>
        <w:sz w:val="21"/>
        <w:szCs w:val="21"/>
      </w:rPr>
    </w:lvl>
    <w:lvl w:ilvl="1" w:tentative="0">
      <w:start w:val="1"/>
      <w:numFmt w:val="none"/>
      <w:pStyle w:val="47"/>
      <w:suff w:val="nothing"/>
      <w:lvlText w:val="A.1"/>
      <w:lvlJc w:val="left"/>
      <w:pPr>
        <w:tabs>
          <w:tab w:val="left" w:pos="0"/>
        </w:tabs>
        <w:ind w:left="0" w:firstLine="0"/>
      </w:pPr>
      <w:rPr>
        <w:rFonts w:hint="default" w:ascii="黑体" w:hAnsi="黑体" w:eastAsia="黑体" w:cs="宋体"/>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1"/>
      <w:suff w:val="nothing"/>
      <w:lvlText w:val="%1.%2.%3　"/>
      <w:lvlJc w:val="left"/>
      <w:pPr>
        <w:ind w:left="142" w:firstLine="0"/>
      </w:pPr>
      <w:rPr>
        <w:rFonts w:hint="eastAsia" w:ascii="黑体" w:hAnsi="Times New Roman" w:eastAsia="黑体"/>
        <w:b w:val="0"/>
        <w:i w:val="0"/>
        <w:sz w:val="21"/>
      </w:rPr>
    </w:lvl>
    <w:lvl w:ilvl="3" w:tentative="0">
      <w:start w:val="1"/>
      <w:numFmt w:val="decimal"/>
      <w:pStyle w:val="56"/>
      <w:suff w:val="nothing"/>
      <w:lvlText w:val="%1.%2.%3.%4　"/>
      <w:lvlJc w:val="left"/>
      <w:pPr>
        <w:ind w:left="0" w:firstLine="0"/>
      </w:pPr>
      <w:rPr>
        <w:rFonts w:ascii="黑体" w:hAnsi="黑体" w:eastAsia="黑体"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4" w:tentative="0">
      <w:start w:val="1"/>
      <w:numFmt w:val="decimal"/>
      <w:pStyle w:val="60"/>
      <w:suff w:val="nothing"/>
      <w:lvlText w:val="%1.%2.%3.%4.%5　"/>
      <w:lvlJc w:val="left"/>
      <w:pPr>
        <w:ind w:left="0" w:firstLine="0"/>
      </w:pPr>
      <w:rPr>
        <w:rFonts w:hint="eastAsia" w:ascii="黑体" w:hAnsi="Times New Roman" w:eastAsia="黑体"/>
        <w:b w:val="0"/>
        <w:i w:val="0"/>
        <w:sz w:val="21"/>
      </w:rPr>
    </w:lvl>
    <w:lvl w:ilvl="5" w:tentative="0">
      <w:start w:val="1"/>
      <w:numFmt w:val="decimal"/>
      <w:pStyle w:val="61"/>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8"/>
  </w:num>
  <w:num w:numId="2">
    <w:abstractNumId w:val="17"/>
  </w:num>
  <w:num w:numId="3">
    <w:abstractNumId w:val="6"/>
  </w:num>
  <w:num w:numId="4">
    <w:abstractNumId w:val="12"/>
  </w:num>
  <w:num w:numId="5">
    <w:abstractNumId w:val="7"/>
  </w:num>
  <w:num w:numId="6">
    <w:abstractNumId w:val="1"/>
  </w:num>
  <w:num w:numId="7">
    <w:abstractNumId w:val="10"/>
  </w:num>
  <w:num w:numId="8">
    <w:abstractNumId w:val="15"/>
  </w:num>
  <w:num w:numId="9">
    <w:abstractNumId w:val="4"/>
  </w:num>
  <w:num w:numId="10">
    <w:abstractNumId w:val="0"/>
  </w:num>
  <w:num w:numId="11">
    <w:abstractNumId w:val="14"/>
  </w:num>
  <w:num w:numId="12">
    <w:abstractNumId w:val="11"/>
  </w:num>
  <w:num w:numId="13">
    <w:abstractNumId w:val="16"/>
  </w:num>
  <w:num w:numId="14">
    <w:abstractNumId w:val="5"/>
  </w:num>
  <w:num w:numId="15">
    <w:abstractNumId w:val="3"/>
  </w:num>
  <w:num w:numId="16">
    <w:abstractNumId w:val="13"/>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xNWU0MjQzMWNhOWZiODJjZGEzMTQ0MDhiNGNlMWQifQ=="/>
  </w:docVars>
  <w:rsids>
    <w:rsidRoot w:val="00035925"/>
    <w:rsid w:val="00000244"/>
    <w:rsid w:val="00000BB3"/>
    <w:rsid w:val="0000185F"/>
    <w:rsid w:val="00004884"/>
    <w:rsid w:val="00004B91"/>
    <w:rsid w:val="00004E32"/>
    <w:rsid w:val="0000586F"/>
    <w:rsid w:val="0000634D"/>
    <w:rsid w:val="000067A7"/>
    <w:rsid w:val="00013D86"/>
    <w:rsid w:val="00013E02"/>
    <w:rsid w:val="0002143C"/>
    <w:rsid w:val="000255E9"/>
    <w:rsid w:val="00025A65"/>
    <w:rsid w:val="00026C31"/>
    <w:rsid w:val="00027280"/>
    <w:rsid w:val="00031A5B"/>
    <w:rsid w:val="000320A7"/>
    <w:rsid w:val="000325EA"/>
    <w:rsid w:val="00035925"/>
    <w:rsid w:val="00035DF7"/>
    <w:rsid w:val="00036C2C"/>
    <w:rsid w:val="00036F4B"/>
    <w:rsid w:val="00043ACF"/>
    <w:rsid w:val="00045A7C"/>
    <w:rsid w:val="00050BB7"/>
    <w:rsid w:val="00051077"/>
    <w:rsid w:val="0005370D"/>
    <w:rsid w:val="00055371"/>
    <w:rsid w:val="00056A24"/>
    <w:rsid w:val="00057CE5"/>
    <w:rsid w:val="000607A3"/>
    <w:rsid w:val="00060E20"/>
    <w:rsid w:val="000657F7"/>
    <w:rsid w:val="00067CDF"/>
    <w:rsid w:val="000707B8"/>
    <w:rsid w:val="00070C8C"/>
    <w:rsid w:val="00073401"/>
    <w:rsid w:val="00074FBE"/>
    <w:rsid w:val="00076818"/>
    <w:rsid w:val="0007762A"/>
    <w:rsid w:val="000778A6"/>
    <w:rsid w:val="00081325"/>
    <w:rsid w:val="00081F6E"/>
    <w:rsid w:val="00083A09"/>
    <w:rsid w:val="00083C86"/>
    <w:rsid w:val="00085DF2"/>
    <w:rsid w:val="00087896"/>
    <w:rsid w:val="0009005E"/>
    <w:rsid w:val="000906CA"/>
    <w:rsid w:val="00090BA7"/>
    <w:rsid w:val="000918A9"/>
    <w:rsid w:val="00092001"/>
    <w:rsid w:val="00092618"/>
    <w:rsid w:val="00092857"/>
    <w:rsid w:val="00092BD8"/>
    <w:rsid w:val="000964C7"/>
    <w:rsid w:val="000979D9"/>
    <w:rsid w:val="000A20A9"/>
    <w:rsid w:val="000A48B1"/>
    <w:rsid w:val="000A5F1F"/>
    <w:rsid w:val="000B0995"/>
    <w:rsid w:val="000B2F0E"/>
    <w:rsid w:val="000B3143"/>
    <w:rsid w:val="000B405D"/>
    <w:rsid w:val="000B577E"/>
    <w:rsid w:val="000C1B1B"/>
    <w:rsid w:val="000C1C72"/>
    <w:rsid w:val="000C1F79"/>
    <w:rsid w:val="000C2BE6"/>
    <w:rsid w:val="000C5E9B"/>
    <w:rsid w:val="000C67F2"/>
    <w:rsid w:val="000C6B05"/>
    <w:rsid w:val="000C6DD6"/>
    <w:rsid w:val="000C73D4"/>
    <w:rsid w:val="000C7455"/>
    <w:rsid w:val="000D2E05"/>
    <w:rsid w:val="000D3D4C"/>
    <w:rsid w:val="000D4F51"/>
    <w:rsid w:val="000D6DBC"/>
    <w:rsid w:val="000D718B"/>
    <w:rsid w:val="000E0C46"/>
    <w:rsid w:val="000E15EE"/>
    <w:rsid w:val="000E49BB"/>
    <w:rsid w:val="000E4F76"/>
    <w:rsid w:val="000E5B15"/>
    <w:rsid w:val="000E5BA1"/>
    <w:rsid w:val="000E692E"/>
    <w:rsid w:val="000F0088"/>
    <w:rsid w:val="000F030C"/>
    <w:rsid w:val="000F0949"/>
    <w:rsid w:val="000F129C"/>
    <w:rsid w:val="000F174F"/>
    <w:rsid w:val="000F4777"/>
    <w:rsid w:val="000F4AD0"/>
    <w:rsid w:val="000F73B6"/>
    <w:rsid w:val="000F7814"/>
    <w:rsid w:val="001017F0"/>
    <w:rsid w:val="00102B53"/>
    <w:rsid w:val="00103802"/>
    <w:rsid w:val="0010436F"/>
    <w:rsid w:val="00104E29"/>
    <w:rsid w:val="001056DE"/>
    <w:rsid w:val="00106A8E"/>
    <w:rsid w:val="00111542"/>
    <w:rsid w:val="001124C0"/>
    <w:rsid w:val="00117A25"/>
    <w:rsid w:val="0012079F"/>
    <w:rsid w:val="00121293"/>
    <w:rsid w:val="001222C0"/>
    <w:rsid w:val="0012249A"/>
    <w:rsid w:val="00126A1A"/>
    <w:rsid w:val="0013175F"/>
    <w:rsid w:val="0013178A"/>
    <w:rsid w:val="0013364D"/>
    <w:rsid w:val="001343BB"/>
    <w:rsid w:val="00136DA9"/>
    <w:rsid w:val="001420EF"/>
    <w:rsid w:val="00147F4C"/>
    <w:rsid w:val="001512B4"/>
    <w:rsid w:val="00151669"/>
    <w:rsid w:val="00151974"/>
    <w:rsid w:val="00151FB7"/>
    <w:rsid w:val="001529FF"/>
    <w:rsid w:val="00153A26"/>
    <w:rsid w:val="00155299"/>
    <w:rsid w:val="00157D90"/>
    <w:rsid w:val="00161DC2"/>
    <w:rsid w:val="001620A5"/>
    <w:rsid w:val="00164E53"/>
    <w:rsid w:val="00165D35"/>
    <w:rsid w:val="0016699D"/>
    <w:rsid w:val="001670D9"/>
    <w:rsid w:val="001710EF"/>
    <w:rsid w:val="0017423B"/>
    <w:rsid w:val="00175159"/>
    <w:rsid w:val="00175AD7"/>
    <w:rsid w:val="00176208"/>
    <w:rsid w:val="00177562"/>
    <w:rsid w:val="001776CC"/>
    <w:rsid w:val="0017780C"/>
    <w:rsid w:val="0018037A"/>
    <w:rsid w:val="00180916"/>
    <w:rsid w:val="001813B2"/>
    <w:rsid w:val="0018211B"/>
    <w:rsid w:val="001828C0"/>
    <w:rsid w:val="00182FFE"/>
    <w:rsid w:val="00183FE1"/>
    <w:rsid w:val="001840D3"/>
    <w:rsid w:val="00184388"/>
    <w:rsid w:val="00184782"/>
    <w:rsid w:val="00187A8A"/>
    <w:rsid w:val="001900F8"/>
    <w:rsid w:val="0019080C"/>
    <w:rsid w:val="00191258"/>
    <w:rsid w:val="00192111"/>
    <w:rsid w:val="00192680"/>
    <w:rsid w:val="00193037"/>
    <w:rsid w:val="00193375"/>
    <w:rsid w:val="00193A2C"/>
    <w:rsid w:val="00195A0D"/>
    <w:rsid w:val="001962CF"/>
    <w:rsid w:val="00196652"/>
    <w:rsid w:val="001A1F17"/>
    <w:rsid w:val="001A288E"/>
    <w:rsid w:val="001A6B63"/>
    <w:rsid w:val="001B36ED"/>
    <w:rsid w:val="001B498E"/>
    <w:rsid w:val="001B6DC2"/>
    <w:rsid w:val="001B754B"/>
    <w:rsid w:val="001C149C"/>
    <w:rsid w:val="001C21AC"/>
    <w:rsid w:val="001C3689"/>
    <w:rsid w:val="001C47BA"/>
    <w:rsid w:val="001C59EA"/>
    <w:rsid w:val="001C66FC"/>
    <w:rsid w:val="001C6831"/>
    <w:rsid w:val="001C6BB8"/>
    <w:rsid w:val="001D3556"/>
    <w:rsid w:val="001D3872"/>
    <w:rsid w:val="001D406C"/>
    <w:rsid w:val="001D41EE"/>
    <w:rsid w:val="001D4BEB"/>
    <w:rsid w:val="001D71E6"/>
    <w:rsid w:val="001E0380"/>
    <w:rsid w:val="001E0B1B"/>
    <w:rsid w:val="001E13B1"/>
    <w:rsid w:val="001E2153"/>
    <w:rsid w:val="001E2967"/>
    <w:rsid w:val="001E7B9E"/>
    <w:rsid w:val="001F2A08"/>
    <w:rsid w:val="001F3A19"/>
    <w:rsid w:val="001F53F5"/>
    <w:rsid w:val="001F61D3"/>
    <w:rsid w:val="002009E4"/>
    <w:rsid w:val="00201053"/>
    <w:rsid w:val="0020107E"/>
    <w:rsid w:val="0020251B"/>
    <w:rsid w:val="002050DC"/>
    <w:rsid w:val="00206AC5"/>
    <w:rsid w:val="0020716E"/>
    <w:rsid w:val="002073D3"/>
    <w:rsid w:val="0020755D"/>
    <w:rsid w:val="00207776"/>
    <w:rsid w:val="00215B0E"/>
    <w:rsid w:val="00215D48"/>
    <w:rsid w:val="0021624B"/>
    <w:rsid w:val="00220723"/>
    <w:rsid w:val="0022185E"/>
    <w:rsid w:val="00225883"/>
    <w:rsid w:val="00226384"/>
    <w:rsid w:val="00226766"/>
    <w:rsid w:val="00227FED"/>
    <w:rsid w:val="0023030A"/>
    <w:rsid w:val="00230F08"/>
    <w:rsid w:val="00234467"/>
    <w:rsid w:val="002352CF"/>
    <w:rsid w:val="00235BE6"/>
    <w:rsid w:val="00235CC8"/>
    <w:rsid w:val="00237B35"/>
    <w:rsid w:val="00237D8D"/>
    <w:rsid w:val="00241DA2"/>
    <w:rsid w:val="00242623"/>
    <w:rsid w:val="00247808"/>
    <w:rsid w:val="00247FEE"/>
    <w:rsid w:val="00250E7D"/>
    <w:rsid w:val="002523DB"/>
    <w:rsid w:val="002527DD"/>
    <w:rsid w:val="00252DAA"/>
    <w:rsid w:val="0025363E"/>
    <w:rsid w:val="002547CF"/>
    <w:rsid w:val="00255D40"/>
    <w:rsid w:val="002565D5"/>
    <w:rsid w:val="00256BDF"/>
    <w:rsid w:val="00257188"/>
    <w:rsid w:val="00260515"/>
    <w:rsid w:val="00260AB7"/>
    <w:rsid w:val="002613BF"/>
    <w:rsid w:val="002622C0"/>
    <w:rsid w:val="00274252"/>
    <w:rsid w:val="00275E78"/>
    <w:rsid w:val="002778AE"/>
    <w:rsid w:val="00277E20"/>
    <w:rsid w:val="0028269A"/>
    <w:rsid w:val="00283254"/>
    <w:rsid w:val="00283334"/>
    <w:rsid w:val="00283590"/>
    <w:rsid w:val="00283860"/>
    <w:rsid w:val="00286973"/>
    <w:rsid w:val="00287674"/>
    <w:rsid w:val="002938A4"/>
    <w:rsid w:val="0029455D"/>
    <w:rsid w:val="00294E70"/>
    <w:rsid w:val="002954B8"/>
    <w:rsid w:val="002967B2"/>
    <w:rsid w:val="00296D00"/>
    <w:rsid w:val="002A118E"/>
    <w:rsid w:val="002A1924"/>
    <w:rsid w:val="002A4896"/>
    <w:rsid w:val="002A4B3A"/>
    <w:rsid w:val="002A7420"/>
    <w:rsid w:val="002A7A7E"/>
    <w:rsid w:val="002B0F12"/>
    <w:rsid w:val="002B1308"/>
    <w:rsid w:val="002B4554"/>
    <w:rsid w:val="002B4B6C"/>
    <w:rsid w:val="002B707C"/>
    <w:rsid w:val="002B78D8"/>
    <w:rsid w:val="002C013C"/>
    <w:rsid w:val="002C6893"/>
    <w:rsid w:val="002C72D8"/>
    <w:rsid w:val="002D11FA"/>
    <w:rsid w:val="002D17BC"/>
    <w:rsid w:val="002D19A4"/>
    <w:rsid w:val="002D24A5"/>
    <w:rsid w:val="002D3FA1"/>
    <w:rsid w:val="002D5B20"/>
    <w:rsid w:val="002D6352"/>
    <w:rsid w:val="002D6A47"/>
    <w:rsid w:val="002D6E85"/>
    <w:rsid w:val="002E0DDF"/>
    <w:rsid w:val="002E2906"/>
    <w:rsid w:val="002E2ACE"/>
    <w:rsid w:val="002E5635"/>
    <w:rsid w:val="002E5B16"/>
    <w:rsid w:val="002E5E8B"/>
    <w:rsid w:val="002E64C3"/>
    <w:rsid w:val="002E6535"/>
    <w:rsid w:val="002E665C"/>
    <w:rsid w:val="002E6A2C"/>
    <w:rsid w:val="002E7A8D"/>
    <w:rsid w:val="002F035E"/>
    <w:rsid w:val="002F0FE8"/>
    <w:rsid w:val="002F1D8C"/>
    <w:rsid w:val="002F21DA"/>
    <w:rsid w:val="002F34B8"/>
    <w:rsid w:val="002F3BF1"/>
    <w:rsid w:val="002F7DBC"/>
    <w:rsid w:val="00300740"/>
    <w:rsid w:val="00301F39"/>
    <w:rsid w:val="0030266B"/>
    <w:rsid w:val="00303D27"/>
    <w:rsid w:val="00305372"/>
    <w:rsid w:val="00305BEE"/>
    <w:rsid w:val="003118FA"/>
    <w:rsid w:val="00313622"/>
    <w:rsid w:val="00313962"/>
    <w:rsid w:val="00313AC2"/>
    <w:rsid w:val="0031637F"/>
    <w:rsid w:val="003234E0"/>
    <w:rsid w:val="00325624"/>
    <w:rsid w:val="00325926"/>
    <w:rsid w:val="00327A8A"/>
    <w:rsid w:val="00327BF9"/>
    <w:rsid w:val="00330DA4"/>
    <w:rsid w:val="00332591"/>
    <w:rsid w:val="003339A3"/>
    <w:rsid w:val="00334D8E"/>
    <w:rsid w:val="0033532E"/>
    <w:rsid w:val="00336610"/>
    <w:rsid w:val="00340D70"/>
    <w:rsid w:val="003412BF"/>
    <w:rsid w:val="00341F5C"/>
    <w:rsid w:val="00341F5F"/>
    <w:rsid w:val="00343D23"/>
    <w:rsid w:val="00343F73"/>
    <w:rsid w:val="00345060"/>
    <w:rsid w:val="003451FB"/>
    <w:rsid w:val="00352629"/>
    <w:rsid w:val="0035323B"/>
    <w:rsid w:val="00353836"/>
    <w:rsid w:val="00353D19"/>
    <w:rsid w:val="00354009"/>
    <w:rsid w:val="00354F60"/>
    <w:rsid w:val="003561EA"/>
    <w:rsid w:val="00356F3E"/>
    <w:rsid w:val="00357037"/>
    <w:rsid w:val="0035785A"/>
    <w:rsid w:val="003609D2"/>
    <w:rsid w:val="00362C37"/>
    <w:rsid w:val="00363331"/>
    <w:rsid w:val="003633CD"/>
    <w:rsid w:val="003637A2"/>
    <w:rsid w:val="00363929"/>
    <w:rsid w:val="00363F22"/>
    <w:rsid w:val="00364162"/>
    <w:rsid w:val="00364940"/>
    <w:rsid w:val="00365741"/>
    <w:rsid w:val="0037059A"/>
    <w:rsid w:val="0037086E"/>
    <w:rsid w:val="003753F3"/>
    <w:rsid w:val="00375564"/>
    <w:rsid w:val="00376489"/>
    <w:rsid w:val="003776ED"/>
    <w:rsid w:val="00380BFB"/>
    <w:rsid w:val="00383191"/>
    <w:rsid w:val="00384EDC"/>
    <w:rsid w:val="00386A08"/>
    <w:rsid w:val="00386DED"/>
    <w:rsid w:val="003904D6"/>
    <w:rsid w:val="003912E7"/>
    <w:rsid w:val="00391E61"/>
    <w:rsid w:val="00393947"/>
    <w:rsid w:val="00395141"/>
    <w:rsid w:val="003A0E27"/>
    <w:rsid w:val="003A0EF2"/>
    <w:rsid w:val="003A1552"/>
    <w:rsid w:val="003A1E04"/>
    <w:rsid w:val="003A2275"/>
    <w:rsid w:val="003A23CA"/>
    <w:rsid w:val="003A68A9"/>
    <w:rsid w:val="003A6A4F"/>
    <w:rsid w:val="003A7088"/>
    <w:rsid w:val="003B00DF"/>
    <w:rsid w:val="003B1275"/>
    <w:rsid w:val="003B1778"/>
    <w:rsid w:val="003B1CCE"/>
    <w:rsid w:val="003B32EA"/>
    <w:rsid w:val="003B6260"/>
    <w:rsid w:val="003B628F"/>
    <w:rsid w:val="003B7350"/>
    <w:rsid w:val="003C11CB"/>
    <w:rsid w:val="003C3017"/>
    <w:rsid w:val="003C67D4"/>
    <w:rsid w:val="003C6A77"/>
    <w:rsid w:val="003C75F3"/>
    <w:rsid w:val="003C78A3"/>
    <w:rsid w:val="003D0478"/>
    <w:rsid w:val="003D36AB"/>
    <w:rsid w:val="003D4A73"/>
    <w:rsid w:val="003D731C"/>
    <w:rsid w:val="003E1867"/>
    <w:rsid w:val="003E1EE0"/>
    <w:rsid w:val="003E5729"/>
    <w:rsid w:val="003E5903"/>
    <w:rsid w:val="003E724E"/>
    <w:rsid w:val="003F1D40"/>
    <w:rsid w:val="003F22BB"/>
    <w:rsid w:val="003F2A5B"/>
    <w:rsid w:val="003F371A"/>
    <w:rsid w:val="003F4EE0"/>
    <w:rsid w:val="003F5252"/>
    <w:rsid w:val="003F5559"/>
    <w:rsid w:val="00400473"/>
    <w:rsid w:val="00402153"/>
    <w:rsid w:val="004021DF"/>
    <w:rsid w:val="00402E26"/>
    <w:rsid w:val="00402FC1"/>
    <w:rsid w:val="00403984"/>
    <w:rsid w:val="00404B41"/>
    <w:rsid w:val="00405F48"/>
    <w:rsid w:val="004062B6"/>
    <w:rsid w:val="0041722A"/>
    <w:rsid w:val="004200D9"/>
    <w:rsid w:val="00422AAF"/>
    <w:rsid w:val="00423367"/>
    <w:rsid w:val="00424FEA"/>
    <w:rsid w:val="00425082"/>
    <w:rsid w:val="00430334"/>
    <w:rsid w:val="00431DEB"/>
    <w:rsid w:val="0043249B"/>
    <w:rsid w:val="00434AD5"/>
    <w:rsid w:val="00440624"/>
    <w:rsid w:val="0044259D"/>
    <w:rsid w:val="004439D9"/>
    <w:rsid w:val="00443B8A"/>
    <w:rsid w:val="00446B29"/>
    <w:rsid w:val="004478FE"/>
    <w:rsid w:val="0045056B"/>
    <w:rsid w:val="0045185C"/>
    <w:rsid w:val="00451AA9"/>
    <w:rsid w:val="00451D82"/>
    <w:rsid w:val="004524BE"/>
    <w:rsid w:val="00453F9A"/>
    <w:rsid w:val="00454CC3"/>
    <w:rsid w:val="004609C4"/>
    <w:rsid w:val="004630EF"/>
    <w:rsid w:val="00464903"/>
    <w:rsid w:val="004660AB"/>
    <w:rsid w:val="00467242"/>
    <w:rsid w:val="00467EDB"/>
    <w:rsid w:val="00471E91"/>
    <w:rsid w:val="00472094"/>
    <w:rsid w:val="00474079"/>
    <w:rsid w:val="00474406"/>
    <w:rsid w:val="00474675"/>
    <w:rsid w:val="0047470C"/>
    <w:rsid w:val="00480A5A"/>
    <w:rsid w:val="00481083"/>
    <w:rsid w:val="00484C88"/>
    <w:rsid w:val="00487B94"/>
    <w:rsid w:val="00494D25"/>
    <w:rsid w:val="00494FB9"/>
    <w:rsid w:val="0049725F"/>
    <w:rsid w:val="004A1EC5"/>
    <w:rsid w:val="004A203E"/>
    <w:rsid w:val="004A2ACD"/>
    <w:rsid w:val="004A35F9"/>
    <w:rsid w:val="004A4662"/>
    <w:rsid w:val="004A7814"/>
    <w:rsid w:val="004A7E02"/>
    <w:rsid w:val="004B157A"/>
    <w:rsid w:val="004B2479"/>
    <w:rsid w:val="004B24C1"/>
    <w:rsid w:val="004B27B8"/>
    <w:rsid w:val="004B29E2"/>
    <w:rsid w:val="004B2A6B"/>
    <w:rsid w:val="004B3092"/>
    <w:rsid w:val="004B47A1"/>
    <w:rsid w:val="004B4836"/>
    <w:rsid w:val="004B49B1"/>
    <w:rsid w:val="004B4B7B"/>
    <w:rsid w:val="004B557C"/>
    <w:rsid w:val="004B7021"/>
    <w:rsid w:val="004C0E91"/>
    <w:rsid w:val="004C292F"/>
    <w:rsid w:val="004C2F39"/>
    <w:rsid w:val="004C33CB"/>
    <w:rsid w:val="004C386B"/>
    <w:rsid w:val="004C4320"/>
    <w:rsid w:val="004C489C"/>
    <w:rsid w:val="004C52F5"/>
    <w:rsid w:val="004C657F"/>
    <w:rsid w:val="004C78FC"/>
    <w:rsid w:val="004D2AB1"/>
    <w:rsid w:val="004D306F"/>
    <w:rsid w:val="004D4B02"/>
    <w:rsid w:val="004D4F76"/>
    <w:rsid w:val="004E427A"/>
    <w:rsid w:val="004E4B13"/>
    <w:rsid w:val="004E4B8C"/>
    <w:rsid w:val="004E550B"/>
    <w:rsid w:val="004E5A47"/>
    <w:rsid w:val="004F143F"/>
    <w:rsid w:val="005036E2"/>
    <w:rsid w:val="005042B9"/>
    <w:rsid w:val="00504D2A"/>
    <w:rsid w:val="00504D87"/>
    <w:rsid w:val="00505A4C"/>
    <w:rsid w:val="00510280"/>
    <w:rsid w:val="0051141A"/>
    <w:rsid w:val="00511C57"/>
    <w:rsid w:val="00513D73"/>
    <w:rsid w:val="005148B3"/>
    <w:rsid w:val="00514A43"/>
    <w:rsid w:val="005151E4"/>
    <w:rsid w:val="00515C56"/>
    <w:rsid w:val="00515E9C"/>
    <w:rsid w:val="00516C96"/>
    <w:rsid w:val="005174E5"/>
    <w:rsid w:val="00520898"/>
    <w:rsid w:val="0052168A"/>
    <w:rsid w:val="00521882"/>
    <w:rsid w:val="00522393"/>
    <w:rsid w:val="00522620"/>
    <w:rsid w:val="00522C9C"/>
    <w:rsid w:val="00525656"/>
    <w:rsid w:val="00525BF3"/>
    <w:rsid w:val="00526B6A"/>
    <w:rsid w:val="00527A6F"/>
    <w:rsid w:val="0053024D"/>
    <w:rsid w:val="00534C02"/>
    <w:rsid w:val="0054044C"/>
    <w:rsid w:val="00542515"/>
    <w:rsid w:val="0054264B"/>
    <w:rsid w:val="00543786"/>
    <w:rsid w:val="005444C5"/>
    <w:rsid w:val="0054535F"/>
    <w:rsid w:val="005456A6"/>
    <w:rsid w:val="00545A47"/>
    <w:rsid w:val="00545A49"/>
    <w:rsid w:val="005463CC"/>
    <w:rsid w:val="005465E4"/>
    <w:rsid w:val="00546D0D"/>
    <w:rsid w:val="00547C29"/>
    <w:rsid w:val="00550B2D"/>
    <w:rsid w:val="0055153A"/>
    <w:rsid w:val="005533D7"/>
    <w:rsid w:val="00554469"/>
    <w:rsid w:val="00554B63"/>
    <w:rsid w:val="00555076"/>
    <w:rsid w:val="00562CF6"/>
    <w:rsid w:val="00564D8B"/>
    <w:rsid w:val="0056544B"/>
    <w:rsid w:val="00567177"/>
    <w:rsid w:val="005703DE"/>
    <w:rsid w:val="005710BC"/>
    <w:rsid w:val="005755F1"/>
    <w:rsid w:val="00577F79"/>
    <w:rsid w:val="00580470"/>
    <w:rsid w:val="00582BBE"/>
    <w:rsid w:val="0058464E"/>
    <w:rsid w:val="0058650E"/>
    <w:rsid w:val="005A01CB"/>
    <w:rsid w:val="005A084F"/>
    <w:rsid w:val="005A19A9"/>
    <w:rsid w:val="005A3411"/>
    <w:rsid w:val="005A3CFE"/>
    <w:rsid w:val="005A58FF"/>
    <w:rsid w:val="005A5B52"/>
    <w:rsid w:val="005A5EAF"/>
    <w:rsid w:val="005A6491"/>
    <w:rsid w:val="005A64C0"/>
    <w:rsid w:val="005A6E19"/>
    <w:rsid w:val="005B00F3"/>
    <w:rsid w:val="005B1985"/>
    <w:rsid w:val="005B2800"/>
    <w:rsid w:val="005B3C11"/>
    <w:rsid w:val="005B712A"/>
    <w:rsid w:val="005C1781"/>
    <w:rsid w:val="005C1C28"/>
    <w:rsid w:val="005C24FB"/>
    <w:rsid w:val="005C43D0"/>
    <w:rsid w:val="005C6DB5"/>
    <w:rsid w:val="005D3842"/>
    <w:rsid w:val="005D392C"/>
    <w:rsid w:val="005D4926"/>
    <w:rsid w:val="005E05ED"/>
    <w:rsid w:val="005E1931"/>
    <w:rsid w:val="005E19E7"/>
    <w:rsid w:val="005E2392"/>
    <w:rsid w:val="005E75E8"/>
    <w:rsid w:val="005F2427"/>
    <w:rsid w:val="005F38B3"/>
    <w:rsid w:val="005F79DA"/>
    <w:rsid w:val="00601622"/>
    <w:rsid w:val="00601FA4"/>
    <w:rsid w:val="00602AD1"/>
    <w:rsid w:val="00604548"/>
    <w:rsid w:val="0060789B"/>
    <w:rsid w:val="0061037E"/>
    <w:rsid w:val="0061311B"/>
    <w:rsid w:val="006134DD"/>
    <w:rsid w:val="00613FAA"/>
    <w:rsid w:val="006158A6"/>
    <w:rsid w:val="00616C36"/>
    <w:rsid w:val="0061716C"/>
    <w:rsid w:val="006171AF"/>
    <w:rsid w:val="00617868"/>
    <w:rsid w:val="006243A1"/>
    <w:rsid w:val="00626005"/>
    <w:rsid w:val="00632E56"/>
    <w:rsid w:val="00635CBA"/>
    <w:rsid w:val="0063655F"/>
    <w:rsid w:val="00636EFC"/>
    <w:rsid w:val="006414C9"/>
    <w:rsid w:val="006422B5"/>
    <w:rsid w:val="0064338B"/>
    <w:rsid w:val="006444EA"/>
    <w:rsid w:val="00644BD3"/>
    <w:rsid w:val="00644E64"/>
    <w:rsid w:val="006463F5"/>
    <w:rsid w:val="00646542"/>
    <w:rsid w:val="006504F4"/>
    <w:rsid w:val="00650800"/>
    <w:rsid w:val="00650DE3"/>
    <w:rsid w:val="006514C8"/>
    <w:rsid w:val="00652B19"/>
    <w:rsid w:val="0065366F"/>
    <w:rsid w:val="00654BC9"/>
    <w:rsid w:val="00654CE3"/>
    <w:rsid w:val="006550A3"/>
    <w:rsid w:val="006552FD"/>
    <w:rsid w:val="00655320"/>
    <w:rsid w:val="00656F0B"/>
    <w:rsid w:val="00657AF7"/>
    <w:rsid w:val="00657FDD"/>
    <w:rsid w:val="00663733"/>
    <w:rsid w:val="00663AF3"/>
    <w:rsid w:val="00666B6C"/>
    <w:rsid w:val="00666DA7"/>
    <w:rsid w:val="00670351"/>
    <w:rsid w:val="006775BF"/>
    <w:rsid w:val="00677B54"/>
    <w:rsid w:val="00681C44"/>
    <w:rsid w:val="00682682"/>
    <w:rsid w:val="00682702"/>
    <w:rsid w:val="00686BE4"/>
    <w:rsid w:val="00692368"/>
    <w:rsid w:val="00694646"/>
    <w:rsid w:val="006950BD"/>
    <w:rsid w:val="00695192"/>
    <w:rsid w:val="00695F2C"/>
    <w:rsid w:val="006A1CD1"/>
    <w:rsid w:val="006A211B"/>
    <w:rsid w:val="006A2EBC"/>
    <w:rsid w:val="006A3AA7"/>
    <w:rsid w:val="006A5EA0"/>
    <w:rsid w:val="006A783B"/>
    <w:rsid w:val="006A7B33"/>
    <w:rsid w:val="006B0362"/>
    <w:rsid w:val="006B2059"/>
    <w:rsid w:val="006B497F"/>
    <w:rsid w:val="006B4E13"/>
    <w:rsid w:val="006B75DD"/>
    <w:rsid w:val="006C047C"/>
    <w:rsid w:val="006C0764"/>
    <w:rsid w:val="006C0817"/>
    <w:rsid w:val="006C1E23"/>
    <w:rsid w:val="006C3D8B"/>
    <w:rsid w:val="006C67E0"/>
    <w:rsid w:val="006C78B3"/>
    <w:rsid w:val="006C7ABA"/>
    <w:rsid w:val="006D0A13"/>
    <w:rsid w:val="006D0D60"/>
    <w:rsid w:val="006D1122"/>
    <w:rsid w:val="006D317E"/>
    <w:rsid w:val="006D3B1E"/>
    <w:rsid w:val="006D3C00"/>
    <w:rsid w:val="006D3F68"/>
    <w:rsid w:val="006D59AC"/>
    <w:rsid w:val="006D5A4B"/>
    <w:rsid w:val="006E06AD"/>
    <w:rsid w:val="006E243A"/>
    <w:rsid w:val="006E3344"/>
    <w:rsid w:val="006E3675"/>
    <w:rsid w:val="006E4A7F"/>
    <w:rsid w:val="006E7571"/>
    <w:rsid w:val="006E76A2"/>
    <w:rsid w:val="006F0967"/>
    <w:rsid w:val="006F1DC2"/>
    <w:rsid w:val="006F2274"/>
    <w:rsid w:val="006F4EE7"/>
    <w:rsid w:val="006F64A0"/>
    <w:rsid w:val="0070038F"/>
    <w:rsid w:val="007027B1"/>
    <w:rsid w:val="0070286C"/>
    <w:rsid w:val="00704DF6"/>
    <w:rsid w:val="007053EE"/>
    <w:rsid w:val="0070641D"/>
    <w:rsid w:val="0070651C"/>
    <w:rsid w:val="0070670D"/>
    <w:rsid w:val="00706DD7"/>
    <w:rsid w:val="007132A3"/>
    <w:rsid w:val="00716421"/>
    <w:rsid w:val="00721419"/>
    <w:rsid w:val="00724EFB"/>
    <w:rsid w:val="00726575"/>
    <w:rsid w:val="00730310"/>
    <w:rsid w:val="007326DE"/>
    <w:rsid w:val="00735328"/>
    <w:rsid w:val="00740A49"/>
    <w:rsid w:val="00741360"/>
    <w:rsid w:val="007419C3"/>
    <w:rsid w:val="00741A46"/>
    <w:rsid w:val="00742200"/>
    <w:rsid w:val="00742457"/>
    <w:rsid w:val="007442BA"/>
    <w:rsid w:val="007457E6"/>
    <w:rsid w:val="00746559"/>
    <w:rsid w:val="007467A7"/>
    <w:rsid w:val="007469DD"/>
    <w:rsid w:val="00747023"/>
    <w:rsid w:val="0074741B"/>
    <w:rsid w:val="0074759E"/>
    <w:rsid w:val="007478EA"/>
    <w:rsid w:val="00750B2E"/>
    <w:rsid w:val="0075415C"/>
    <w:rsid w:val="00757097"/>
    <w:rsid w:val="007606CB"/>
    <w:rsid w:val="00761E8B"/>
    <w:rsid w:val="007631E3"/>
    <w:rsid w:val="00763502"/>
    <w:rsid w:val="007665D8"/>
    <w:rsid w:val="00780354"/>
    <w:rsid w:val="007808BD"/>
    <w:rsid w:val="00780DE2"/>
    <w:rsid w:val="00785ADF"/>
    <w:rsid w:val="007913AB"/>
    <w:rsid w:val="007914F7"/>
    <w:rsid w:val="00795C73"/>
    <w:rsid w:val="00797A1D"/>
    <w:rsid w:val="007A4809"/>
    <w:rsid w:val="007A542A"/>
    <w:rsid w:val="007B0468"/>
    <w:rsid w:val="007B1625"/>
    <w:rsid w:val="007B1A4C"/>
    <w:rsid w:val="007B2366"/>
    <w:rsid w:val="007B6440"/>
    <w:rsid w:val="007B67B8"/>
    <w:rsid w:val="007B706E"/>
    <w:rsid w:val="007B71EB"/>
    <w:rsid w:val="007B7BA8"/>
    <w:rsid w:val="007C0748"/>
    <w:rsid w:val="007C0E7F"/>
    <w:rsid w:val="007C1B13"/>
    <w:rsid w:val="007C4E95"/>
    <w:rsid w:val="007C6205"/>
    <w:rsid w:val="007C6346"/>
    <w:rsid w:val="007C686A"/>
    <w:rsid w:val="007C728E"/>
    <w:rsid w:val="007D00CF"/>
    <w:rsid w:val="007D0BE0"/>
    <w:rsid w:val="007D1DC6"/>
    <w:rsid w:val="007D204F"/>
    <w:rsid w:val="007D2269"/>
    <w:rsid w:val="007D28C3"/>
    <w:rsid w:val="007D2C53"/>
    <w:rsid w:val="007D3857"/>
    <w:rsid w:val="007D3D60"/>
    <w:rsid w:val="007D7CF1"/>
    <w:rsid w:val="007E1980"/>
    <w:rsid w:val="007E34ED"/>
    <w:rsid w:val="007E4B76"/>
    <w:rsid w:val="007E5043"/>
    <w:rsid w:val="007E5EA8"/>
    <w:rsid w:val="007E67F2"/>
    <w:rsid w:val="007E6EDC"/>
    <w:rsid w:val="007F0CF1"/>
    <w:rsid w:val="007F0D28"/>
    <w:rsid w:val="007F12A5"/>
    <w:rsid w:val="007F2D74"/>
    <w:rsid w:val="007F3FB7"/>
    <w:rsid w:val="007F4CF1"/>
    <w:rsid w:val="007F5A01"/>
    <w:rsid w:val="007F758D"/>
    <w:rsid w:val="007F7D52"/>
    <w:rsid w:val="00800AD8"/>
    <w:rsid w:val="0080395C"/>
    <w:rsid w:val="0080484A"/>
    <w:rsid w:val="00805589"/>
    <w:rsid w:val="008057A5"/>
    <w:rsid w:val="00805E2F"/>
    <w:rsid w:val="0080654C"/>
    <w:rsid w:val="008071C6"/>
    <w:rsid w:val="00810174"/>
    <w:rsid w:val="00813674"/>
    <w:rsid w:val="00817A00"/>
    <w:rsid w:val="00820B95"/>
    <w:rsid w:val="00820CD7"/>
    <w:rsid w:val="008237D8"/>
    <w:rsid w:val="00823A1C"/>
    <w:rsid w:val="00825891"/>
    <w:rsid w:val="008272BB"/>
    <w:rsid w:val="0082738D"/>
    <w:rsid w:val="008315D6"/>
    <w:rsid w:val="00831631"/>
    <w:rsid w:val="0083228D"/>
    <w:rsid w:val="008326A1"/>
    <w:rsid w:val="00833D07"/>
    <w:rsid w:val="008344F2"/>
    <w:rsid w:val="00835DB3"/>
    <w:rsid w:val="0083617B"/>
    <w:rsid w:val="00836342"/>
    <w:rsid w:val="00836A2D"/>
    <w:rsid w:val="008371BD"/>
    <w:rsid w:val="00840EBF"/>
    <w:rsid w:val="00843012"/>
    <w:rsid w:val="008435C5"/>
    <w:rsid w:val="008436E7"/>
    <w:rsid w:val="008456BA"/>
    <w:rsid w:val="0084694D"/>
    <w:rsid w:val="008504A8"/>
    <w:rsid w:val="00851B58"/>
    <w:rsid w:val="0085282E"/>
    <w:rsid w:val="00853FDC"/>
    <w:rsid w:val="0085470D"/>
    <w:rsid w:val="0086784F"/>
    <w:rsid w:val="0087198C"/>
    <w:rsid w:val="00872C1F"/>
    <w:rsid w:val="0087320E"/>
    <w:rsid w:val="00873B42"/>
    <w:rsid w:val="008756A6"/>
    <w:rsid w:val="00876BC6"/>
    <w:rsid w:val="00877CB0"/>
    <w:rsid w:val="00880083"/>
    <w:rsid w:val="008805AC"/>
    <w:rsid w:val="00880D1A"/>
    <w:rsid w:val="00881D55"/>
    <w:rsid w:val="00881FE5"/>
    <w:rsid w:val="00883627"/>
    <w:rsid w:val="00883DE1"/>
    <w:rsid w:val="00884468"/>
    <w:rsid w:val="00885085"/>
    <w:rsid w:val="008856D8"/>
    <w:rsid w:val="00890141"/>
    <w:rsid w:val="0089082E"/>
    <w:rsid w:val="008908CC"/>
    <w:rsid w:val="00892E82"/>
    <w:rsid w:val="00893277"/>
    <w:rsid w:val="00894995"/>
    <w:rsid w:val="0089597A"/>
    <w:rsid w:val="00895B3C"/>
    <w:rsid w:val="00895FA9"/>
    <w:rsid w:val="00896688"/>
    <w:rsid w:val="008A1035"/>
    <w:rsid w:val="008A6B84"/>
    <w:rsid w:val="008A6E08"/>
    <w:rsid w:val="008C0BE9"/>
    <w:rsid w:val="008C0EE8"/>
    <w:rsid w:val="008C1B58"/>
    <w:rsid w:val="008C39AE"/>
    <w:rsid w:val="008C40DF"/>
    <w:rsid w:val="008C4CCC"/>
    <w:rsid w:val="008C590D"/>
    <w:rsid w:val="008C6E64"/>
    <w:rsid w:val="008C7580"/>
    <w:rsid w:val="008D3968"/>
    <w:rsid w:val="008D447E"/>
    <w:rsid w:val="008D4AAA"/>
    <w:rsid w:val="008D7467"/>
    <w:rsid w:val="008D7566"/>
    <w:rsid w:val="008E031B"/>
    <w:rsid w:val="008E0489"/>
    <w:rsid w:val="008E0560"/>
    <w:rsid w:val="008E0BFE"/>
    <w:rsid w:val="008E1C13"/>
    <w:rsid w:val="008E2D8C"/>
    <w:rsid w:val="008E4DC1"/>
    <w:rsid w:val="008E7029"/>
    <w:rsid w:val="008E7EF6"/>
    <w:rsid w:val="008F1BCF"/>
    <w:rsid w:val="008F1F98"/>
    <w:rsid w:val="008F2340"/>
    <w:rsid w:val="008F2790"/>
    <w:rsid w:val="008F4DC3"/>
    <w:rsid w:val="008F6758"/>
    <w:rsid w:val="009009BD"/>
    <w:rsid w:val="00903C43"/>
    <w:rsid w:val="00903F8F"/>
    <w:rsid w:val="009040DD"/>
    <w:rsid w:val="00905B47"/>
    <w:rsid w:val="0090690F"/>
    <w:rsid w:val="009075FB"/>
    <w:rsid w:val="00907B10"/>
    <w:rsid w:val="00911391"/>
    <w:rsid w:val="009125F1"/>
    <w:rsid w:val="0091331C"/>
    <w:rsid w:val="00913376"/>
    <w:rsid w:val="009137BD"/>
    <w:rsid w:val="0091503D"/>
    <w:rsid w:val="009224ED"/>
    <w:rsid w:val="00923D36"/>
    <w:rsid w:val="009269DA"/>
    <w:rsid w:val="009279DE"/>
    <w:rsid w:val="00927AB9"/>
    <w:rsid w:val="00927B37"/>
    <w:rsid w:val="00930116"/>
    <w:rsid w:val="00930625"/>
    <w:rsid w:val="00930B52"/>
    <w:rsid w:val="00931FE9"/>
    <w:rsid w:val="00932899"/>
    <w:rsid w:val="00934EFF"/>
    <w:rsid w:val="00941082"/>
    <w:rsid w:val="00941100"/>
    <w:rsid w:val="00941BD7"/>
    <w:rsid w:val="0094212C"/>
    <w:rsid w:val="00943289"/>
    <w:rsid w:val="00944853"/>
    <w:rsid w:val="0094609D"/>
    <w:rsid w:val="00946B31"/>
    <w:rsid w:val="009507A2"/>
    <w:rsid w:val="0095190F"/>
    <w:rsid w:val="00951EA5"/>
    <w:rsid w:val="0095378C"/>
    <w:rsid w:val="00954689"/>
    <w:rsid w:val="0095472A"/>
    <w:rsid w:val="0096085A"/>
    <w:rsid w:val="009617C9"/>
    <w:rsid w:val="00961C93"/>
    <w:rsid w:val="009625AC"/>
    <w:rsid w:val="00962B4E"/>
    <w:rsid w:val="00965324"/>
    <w:rsid w:val="00966E99"/>
    <w:rsid w:val="0097091E"/>
    <w:rsid w:val="00970D2D"/>
    <w:rsid w:val="009727D0"/>
    <w:rsid w:val="00973294"/>
    <w:rsid w:val="00974CDF"/>
    <w:rsid w:val="009760D3"/>
    <w:rsid w:val="00977132"/>
    <w:rsid w:val="009817F2"/>
    <w:rsid w:val="00981A4B"/>
    <w:rsid w:val="00982250"/>
    <w:rsid w:val="00982501"/>
    <w:rsid w:val="00983D33"/>
    <w:rsid w:val="00984358"/>
    <w:rsid w:val="0098575D"/>
    <w:rsid w:val="0098620A"/>
    <w:rsid w:val="0098651C"/>
    <w:rsid w:val="009868E6"/>
    <w:rsid w:val="009877D3"/>
    <w:rsid w:val="00987DF7"/>
    <w:rsid w:val="00987FE6"/>
    <w:rsid w:val="00990544"/>
    <w:rsid w:val="00993F43"/>
    <w:rsid w:val="009945A2"/>
    <w:rsid w:val="00994E8F"/>
    <w:rsid w:val="009951DC"/>
    <w:rsid w:val="0099555B"/>
    <w:rsid w:val="009959BB"/>
    <w:rsid w:val="00997158"/>
    <w:rsid w:val="009A0827"/>
    <w:rsid w:val="009A301B"/>
    <w:rsid w:val="009A3A1A"/>
    <w:rsid w:val="009A3A7C"/>
    <w:rsid w:val="009A45B9"/>
    <w:rsid w:val="009A5AE9"/>
    <w:rsid w:val="009A5D33"/>
    <w:rsid w:val="009A7D84"/>
    <w:rsid w:val="009B2323"/>
    <w:rsid w:val="009B2ADB"/>
    <w:rsid w:val="009B35C5"/>
    <w:rsid w:val="009B603A"/>
    <w:rsid w:val="009B6D44"/>
    <w:rsid w:val="009C0ED2"/>
    <w:rsid w:val="009C2D0E"/>
    <w:rsid w:val="009C3592"/>
    <w:rsid w:val="009C3DAC"/>
    <w:rsid w:val="009C418D"/>
    <w:rsid w:val="009C42E0"/>
    <w:rsid w:val="009C556B"/>
    <w:rsid w:val="009C5B19"/>
    <w:rsid w:val="009C690C"/>
    <w:rsid w:val="009D1B95"/>
    <w:rsid w:val="009D3230"/>
    <w:rsid w:val="009D5362"/>
    <w:rsid w:val="009D6D77"/>
    <w:rsid w:val="009D7347"/>
    <w:rsid w:val="009E1415"/>
    <w:rsid w:val="009E44E0"/>
    <w:rsid w:val="009E545C"/>
    <w:rsid w:val="009E6116"/>
    <w:rsid w:val="009E7E25"/>
    <w:rsid w:val="009F1706"/>
    <w:rsid w:val="009F4017"/>
    <w:rsid w:val="009F52D3"/>
    <w:rsid w:val="009F6C86"/>
    <w:rsid w:val="009F7007"/>
    <w:rsid w:val="00A02E43"/>
    <w:rsid w:val="00A033E8"/>
    <w:rsid w:val="00A034C9"/>
    <w:rsid w:val="00A04EBB"/>
    <w:rsid w:val="00A05368"/>
    <w:rsid w:val="00A06205"/>
    <w:rsid w:val="00A065F9"/>
    <w:rsid w:val="00A07011"/>
    <w:rsid w:val="00A07F34"/>
    <w:rsid w:val="00A11F49"/>
    <w:rsid w:val="00A20BD9"/>
    <w:rsid w:val="00A20EF0"/>
    <w:rsid w:val="00A22154"/>
    <w:rsid w:val="00A24058"/>
    <w:rsid w:val="00A24AFF"/>
    <w:rsid w:val="00A25C38"/>
    <w:rsid w:val="00A25E50"/>
    <w:rsid w:val="00A35824"/>
    <w:rsid w:val="00A36A18"/>
    <w:rsid w:val="00A36BBE"/>
    <w:rsid w:val="00A37C20"/>
    <w:rsid w:val="00A40D9E"/>
    <w:rsid w:val="00A41DF7"/>
    <w:rsid w:val="00A420B1"/>
    <w:rsid w:val="00A42ECA"/>
    <w:rsid w:val="00A4307A"/>
    <w:rsid w:val="00A44328"/>
    <w:rsid w:val="00A45A52"/>
    <w:rsid w:val="00A46DEF"/>
    <w:rsid w:val="00A47EBB"/>
    <w:rsid w:val="00A47F63"/>
    <w:rsid w:val="00A51CDD"/>
    <w:rsid w:val="00A544CE"/>
    <w:rsid w:val="00A563F8"/>
    <w:rsid w:val="00A56BBA"/>
    <w:rsid w:val="00A61E37"/>
    <w:rsid w:val="00A62DF2"/>
    <w:rsid w:val="00A642FB"/>
    <w:rsid w:val="00A65317"/>
    <w:rsid w:val="00A65B48"/>
    <w:rsid w:val="00A660C7"/>
    <w:rsid w:val="00A6730D"/>
    <w:rsid w:val="00A70500"/>
    <w:rsid w:val="00A715E8"/>
    <w:rsid w:val="00A71625"/>
    <w:rsid w:val="00A71B9B"/>
    <w:rsid w:val="00A72D82"/>
    <w:rsid w:val="00A751C7"/>
    <w:rsid w:val="00A80008"/>
    <w:rsid w:val="00A834C4"/>
    <w:rsid w:val="00A8424D"/>
    <w:rsid w:val="00A84B31"/>
    <w:rsid w:val="00A84CE5"/>
    <w:rsid w:val="00A87844"/>
    <w:rsid w:val="00A921FC"/>
    <w:rsid w:val="00A9227B"/>
    <w:rsid w:val="00A97A55"/>
    <w:rsid w:val="00AA038C"/>
    <w:rsid w:val="00AA09EC"/>
    <w:rsid w:val="00AA0D75"/>
    <w:rsid w:val="00AA66EC"/>
    <w:rsid w:val="00AA7A09"/>
    <w:rsid w:val="00AB38AE"/>
    <w:rsid w:val="00AB3B50"/>
    <w:rsid w:val="00AB5D06"/>
    <w:rsid w:val="00AC05B1"/>
    <w:rsid w:val="00AC0BFE"/>
    <w:rsid w:val="00AC1DDB"/>
    <w:rsid w:val="00AC450C"/>
    <w:rsid w:val="00AD06BE"/>
    <w:rsid w:val="00AD340B"/>
    <w:rsid w:val="00AD3472"/>
    <w:rsid w:val="00AD356C"/>
    <w:rsid w:val="00AD734F"/>
    <w:rsid w:val="00AE2062"/>
    <w:rsid w:val="00AE2914"/>
    <w:rsid w:val="00AE54B0"/>
    <w:rsid w:val="00AE54E2"/>
    <w:rsid w:val="00AE5588"/>
    <w:rsid w:val="00AE592B"/>
    <w:rsid w:val="00AE61F1"/>
    <w:rsid w:val="00AE6D15"/>
    <w:rsid w:val="00AE7023"/>
    <w:rsid w:val="00AE78AA"/>
    <w:rsid w:val="00AF0D74"/>
    <w:rsid w:val="00AF0EF3"/>
    <w:rsid w:val="00AF1F49"/>
    <w:rsid w:val="00AF2D81"/>
    <w:rsid w:val="00AF3824"/>
    <w:rsid w:val="00AF6E2E"/>
    <w:rsid w:val="00B04182"/>
    <w:rsid w:val="00B05ECF"/>
    <w:rsid w:val="00B07767"/>
    <w:rsid w:val="00B07AE3"/>
    <w:rsid w:val="00B11430"/>
    <w:rsid w:val="00B12A5D"/>
    <w:rsid w:val="00B221A5"/>
    <w:rsid w:val="00B242F4"/>
    <w:rsid w:val="00B2477A"/>
    <w:rsid w:val="00B24D1C"/>
    <w:rsid w:val="00B24ED2"/>
    <w:rsid w:val="00B30072"/>
    <w:rsid w:val="00B3008A"/>
    <w:rsid w:val="00B30481"/>
    <w:rsid w:val="00B3121A"/>
    <w:rsid w:val="00B3312F"/>
    <w:rsid w:val="00B353EB"/>
    <w:rsid w:val="00B365A8"/>
    <w:rsid w:val="00B37FBE"/>
    <w:rsid w:val="00B4016F"/>
    <w:rsid w:val="00B407AC"/>
    <w:rsid w:val="00B439C4"/>
    <w:rsid w:val="00B4535E"/>
    <w:rsid w:val="00B5106B"/>
    <w:rsid w:val="00B52A8C"/>
    <w:rsid w:val="00B54707"/>
    <w:rsid w:val="00B558AA"/>
    <w:rsid w:val="00B56155"/>
    <w:rsid w:val="00B562BB"/>
    <w:rsid w:val="00B5778F"/>
    <w:rsid w:val="00B60208"/>
    <w:rsid w:val="00B62F11"/>
    <w:rsid w:val="00B63042"/>
    <w:rsid w:val="00B636A8"/>
    <w:rsid w:val="00B644F4"/>
    <w:rsid w:val="00B665C6"/>
    <w:rsid w:val="00B6719E"/>
    <w:rsid w:val="00B72AD8"/>
    <w:rsid w:val="00B74441"/>
    <w:rsid w:val="00B758A5"/>
    <w:rsid w:val="00B77926"/>
    <w:rsid w:val="00B80175"/>
    <w:rsid w:val="00B805AF"/>
    <w:rsid w:val="00B82BD5"/>
    <w:rsid w:val="00B856DE"/>
    <w:rsid w:val="00B869EC"/>
    <w:rsid w:val="00B92383"/>
    <w:rsid w:val="00B9397A"/>
    <w:rsid w:val="00B94E48"/>
    <w:rsid w:val="00B9633D"/>
    <w:rsid w:val="00B967D5"/>
    <w:rsid w:val="00BA2283"/>
    <w:rsid w:val="00BA2EBE"/>
    <w:rsid w:val="00BA4137"/>
    <w:rsid w:val="00BB08FB"/>
    <w:rsid w:val="00BB0F28"/>
    <w:rsid w:val="00BB2FA0"/>
    <w:rsid w:val="00BB458A"/>
    <w:rsid w:val="00BB693F"/>
    <w:rsid w:val="00BB6C11"/>
    <w:rsid w:val="00BB7A47"/>
    <w:rsid w:val="00BC08B3"/>
    <w:rsid w:val="00BC11BB"/>
    <w:rsid w:val="00BC1831"/>
    <w:rsid w:val="00BC3537"/>
    <w:rsid w:val="00BC5953"/>
    <w:rsid w:val="00BC6A33"/>
    <w:rsid w:val="00BD00D3"/>
    <w:rsid w:val="00BD1659"/>
    <w:rsid w:val="00BD2A92"/>
    <w:rsid w:val="00BD351D"/>
    <w:rsid w:val="00BD3AA9"/>
    <w:rsid w:val="00BD4A18"/>
    <w:rsid w:val="00BD6DB2"/>
    <w:rsid w:val="00BD73A1"/>
    <w:rsid w:val="00BD7628"/>
    <w:rsid w:val="00BD78BC"/>
    <w:rsid w:val="00BE11CF"/>
    <w:rsid w:val="00BE21AB"/>
    <w:rsid w:val="00BE50FC"/>
    <w:rsid w:val="00BE51A3"/>
    <w:rsid w:val="00BE55CB"/>
    <w:rsid w:val="00BE6431"/>
    <w:rsid w:val="00BE7067"/>
    <w:rsid w:val="00BE717B"/>
    <w:rsid w:val="00BF3BB2"/>
    <w:rsid w:val="00BF47B9"/>
    <w:rsid w:val="00BF617A"/>
    <w:rsid w:val="00C01EF6"/>
    <w:rsid w:val="00C0270C"/>
    <w:rsid w:val="00C0379D"/>
    <w:rsid w:val="00C03931"/>
    <w:rsid w:val="00C05FE3"/>
    <w:rsid w:val="00C11DA9"/>
    <w:rsid w:val="00C130A1"/>
    <w:rsid w:val="00C134B3"/>
    <w:rsid w:val="00C2136D"/>
    <w:rsid w:val="00C214EE"/>
    <w:rsid w:val="00C2314B"/>
    <w:rsid w:val="00C23A02"/>
    <w:rsid w:val="00C23D44"/>
    <w:rsid w:val="00C244A0"/>
    <w:rsid w:val="00C24971"/>
    <w:rsid w:val="00C25355"/>
    <w:rsid w:val="00C25BCF"/>
    <w:rsid w:val="00C25F53"/>
    <w:rsid w:val="00C26BE5"/>
    <w:rsid w:val="00C26E4D"/>
    <w:rsid w:val="00C27909"/>
    <w:rsid w:val="00C27B03"/>
    <w:rsid w:val="00C314E1"/>
    <w:rsid w:val="00C32845"/>
    <w:rsid w:val="00C34397"/>
    <w:rsid w:val="00C36A6E"/>
    <w:rsid w:val="00C40503"/>
    <w:rsid w:val="00C4095D"/>
    <w:rsid w:val="00C41AC5"/>
    <w:rsid w:val="00C42CE7"/>
    <w:rsid w:val="00C43E8B"/>
    <w:rsid w:val="00C52503"/>
    <w:rsid w:val="00C5351D"/>
    <w:rsid w:val="00C54048"/>
    <w:rsid w:val="00C55B11"/>
    <w:rsid w:val="00C57A9C"/>
    <w:rsid w:val="00C601D2"/>
    <w:rsid w:val="00C60AF5"/>
    <w:rsid w:val="00C63363"/>
    <w:rsid w:val="00C65BCC"/>
    <w:rsid w:val="00C66970"/>
    <w:rsid w:val="00C71BAF"/>
    <w:rsid w:val="00C71F4D"/>
    <w:rsid w:val="00C75B2C"/>
    <w:rsid w:val="00C803C0"/>
    <w:rsid w:val="00C809E9"/>
    <w:rsid w:val="00C83B3B"/>
    <w:rsid w:val="00C85715"/>
    <w:rsid w:val="00C8691C"/>
    <w:rsid w:val="00C86CB4"/>
    <w:rsid w:val="00C87CCC"/>
    <w:rsid w:val="00C90BCA"/>
    <w:rsid w:val="00C94117"/>
    <w:rsid w:val="00C96295"/>
    <w:rsid w:val="00C96364"/>
    <w:rsid w:val="00C96E8C"/>
    <w:rsid w:val="00CA03DF"/>
    <w:rsid w:val="00CA168A"/>
    <w:rsid w:val="00CA1900"/>
    <w:rsid w:val="00CA1CF8"/>
    <w:rsid w:val="00CA2097"/>
    <w:rsid w:val="00CA2D24"/>
    <w:rsid w:val="00CA357E"/>
    <w:rsid w:val="00CA3995"/>
    <w:rsid w:val="00CA44F9"/>
    <w:rsid w:val="00CA4A69"/>
    <w:rsid w:val="00CA794D"/>
    <w:rsid w:val="00CB13FF"/>
    <w:rsid w:val="00CB1CAD"/>
    <w:rsid w:val="00CB1F15"/>
    <w:rsid w:val="00CB359F"/>
    <w:rsid w:val="00CB40D0"/>
    <w:rsid w:val="00CB722E"/>
    <w:rsid w:val="00CC0DEA"/>
    <w:rsid w:val="00CC1D34"/>
    <w:rsid w:val="00CC2795"/>
    <w:rsid w:val="00CC3132"/>
    <w:rsid w:val="00CC3E0C"/>
    <w:rsid w:val="00CC58D3"/>
    <w:rsid w:val="00CC784D"/>
    <w:rsid w:val="00CD2A5A"/>
    <w:rsid w:val="00CD42B2"/>
    <w:rsid w:val="00CD5DBA"/>
    <w:rsid w:val="00CD70BC"/>
    <w:rsid w:val="00CE0E41"/>
    <w:rsid w:val="00CE1396"/>
    <w:rsid w:val="00CE1735"/>
    <w:rsid w:val="00CE1AD2"/>
    <w:rsid w:val="00CE3593"/>
    <w:rsid w:val="00CE3DA7"/>
    <w:rsid w:val="00CF05D8"/>
    <w:rsid w:val="00CF1E15"/>
    <w:rsid w:val="00CF33CB"/>
    <w:rsid w:val="00CF7528"/>
    <w:rsid w:val="00CF77EE"/>
    <w:rsid w:val="00D00192"/>
    <w:rsid w:val="00D00A8D"/>
    <w:rsid w:val="00D03268"/>
    <w:rsid w:val="00D0337B"/>
    <w:rsid w:val="00D07470"/>
    <w:rsid w:val="00D07777"/>
    <w:rsid w:val="00D079B2"/>
    <w:rsid w:val="00D114E9"/>
    <w:rsid w:val="00D13872"/>
    <w:rsid w:val="00D151D7"/>
    <w:rsid w:val="00D15441"/>
    <w:rsid w:val="00D17CD8"/>
    <w:rsid w:val="00D239D6"/>
    <w:rsid w:val="00D246E5"/>
    <w:rsid w:val="00D2527C"/>
    <w:rsid w:val="00D25E65"/>
    <w:rsid w:val="00D267CE"/>
    <w:rsid w:val="00D313B3"/>
    <w:rsid w:val="00D317BA"/>
    <w:rsid w:val="00D34752"/>
    <w:rsid w:val="00D35B8E"/>
    <w:rsid w:val="00D36087"/>
    <w:rsid w:val="00D37490"/>
    <w:rsid w:val="00D40A48"/>
    <w:rsid w:val="00D40F07"/>
    <w:rsid w:val="00D429C6"/>
    <w:rsid w:val="00D42BA6"/>
    <w:rsid w:val="00D47748"/>
    <w:rsid w:val="00D47DFB"/>
    <w:rsid w:val="00D50CDC"/>
    <w:rsid w:val="00D50F3F"/>
    <w:rsid w:val="00D51083"/>
    <w:rsid w:val="00D5178F"/>
    <w:rsid w:val="00D518DF"/>
    <w:rsid w:val="00D51C80"/>
    <w:rsid w:val="00D54683"/>
    <w:rsid w:val="00D54CC3"/>
    <w:rsid w:val="00D56932"/>
    <w:rsid w:val="00D5756F"/>
    <w:rsid w:val="00D6041A"/>
    <w:rsid w:val="00D61258"/>
    <w:rsid w:val="00D633EB"/>
    <w:rsid w:val="00D63F6B"/>
    <w:rsid w:val="00D6666E"/>
    <w:rsid w:val="00D666F7"/>
    <w:rsid w:val="00D7019D"/>
    <w:rsid w:val="00D72B0C"/>
    <w:rsid w:val="00D72DDE"/>
    <w:rsid w:val="00D72DDF"/>
    <w:rsid w:val="00D736AC"/>
    <w:rsid w:val="00D7384E"/>
    <w:rsid w:val="00D747AA"/>
    <w:rsid w:val="00D75A7E"/>
    <w:rsid w:val="00D81DC1"/>
    <w:rsid w:val="00D81E2B"/>
    <w:rsid w:val="00D82FF7"/>
    <w:rsid w:val="00D84271"/>
    <w:rsid w:val="00D847FE"/>
    <w:rsid w:val="00D85D88"/>
    <w:rsid w:val="00D86B9C"/>
    <w:rsid w:val="00D900CD"/>
    <w:rsid w:val="00D90A39"/>
    <w:rsid w:val="00D90ED4"/>
    <w:rsid w:val="00D93F27"/>
    <w:rsid w:val="00D958D6"/>
    <w:rsid w:val="00D964EA"/>
    <w:rsid w:val="00D966D0"/>
    <w:rsid w:val="00D976C2"/>
    <w:rsid w:val="00DA0C59"/>
    <w:rsid w:val="00DA3991"/>
    <w:rsid w:val="00DA4A69"/>
    <w:rsid w:val="00DA72A1"/>
    <w:rsid w:val="00DA7F95"/>
    <w:rsid w:val="00DB01F1"/>
    <w:rsid w:val="00DB2655"/>
    <w:rsid w:val="00DB3222"/>
    <w:rsid w:val="00DB72B1"/>
    <w:rsid w:val="00DB7E6C"/>
    <w:rsid w:val="00DC26B3"/>
    <w:rsid w:val="00DC4F68"/>
    <w:rsid w:val="00DC53B0"/>
    <w:rsid w:val="00DC57F0"/>
    <w:rsid w:val="00DC64B0"/>
    <w:rsid w:val="00DC6B1E"/>
    <w:rsid w:val="00DD125B"/>
    <w:rsid w:val="00DD252A"/>
    <w:rsid w:val="00DD274E"/>
    <w:rsid w:val="00DD35B8"/>
    <w:rsid w:val="00DD44EB"/>
    <w:rsid w:val="00DD5949"/>
    <w:rsid w:val="00DD5A29"/>
    <w:rsid w:val="00DD5A71"/>
    <w:rsid w:val="00DD5D9D"/>
    <w:rsid w:val="00DD6427"/>
    <w:rsid w:val="00DD6955"/>
    <w:rsid w:val="00DD7137"/>
    <w:rsid w:val="00DE0199"/>
    <w:rsid w:val="00DE251E"/>
    <w:rsid w:val="00DE28ED"/>
    <w:rsid w:val="00DE2A5A"/>
    <w:rsid w:val="00DE3239"/>
    <w:rsid w:val="00DE35CB"/>
    <w:rsid w:val="00DE428C"/>
    <w:rsid w:val="00DE46AF"/>
    <w:rsid w:val="00DE6DEB"/>
    <w:rsid w:val="00DE779C"/>
    <w:rsid w:val="00DE7CC4"/>
    <w:rsid w:val="00DF0EF0"/>
    <w:rsid w:val="00DF21E9"/>
    <w:rsid w:val="00DF22C7"/>
    <w:rsid w:val="00DF2325"/>
    <w:rsid w:val="00DF54C3"/>
    <w:rsid w:val="00DF5588"/>
    <w:rsid w:val="00DF5CC9"/>
    <w:rsid w:val="00DF66DD"/>
    <w:rsid w:val="00DF66F6"/>
    <w:rsid w:val="00DF7CF3"/>
    <w:rsid w:val="00E001C3"/>
    <w:rsid w:val="00E005D3"/>
    <w:rsid w:val="00E00C14"/>
    <w:rsid w:val="00E00F14"/>
    <w:rsid w:val="00E01CB8"/>
    <w:rsid w:val="00E03832"/>
    <w:rsid w:val="00E06386"/>
    <w:rsid w:val="00E075C5"/>
    <w:rsid w:val="00E1051A"/>
    <w:rsid w:val="00E1082B"/>
    <w:rsid w:val="00E111F3"/>
    <w:rsid w:val="00E11668"/>
    <w:rsid w:val="00E118E7"/>
    <w:rsid w:val="00E122B7"/>
    <w:rsid w:val="00E13ED1"/>
    <w:rsid w:val="00E17CE9"/>
    <w:rsid w:val="00E21B55"/>
    <w:rsid w:val="00E221D3"/>
    <w:rsid w:val="00E24958"/>
    <w:rsid w:val="00E24EB4"/>
    <w:rsid w:val="00E24FFD"/>
    <w:rsid w:val="00E25DD8"/>
    <w:rsid w:val="00E27197"/>
    <w:rsid w:val="00E30635"/>
    <w:rsid w:val="00E320ED"/>
    <w:rsid w:val="00E32143"/>
    <w:rsid w:val="00E33AFB"/>
    <w:rsid w:val="00E34218"/>
    <w:rsid w:val="00E404F3"/>
    <w:rsid w:val="00E40D22"/>
    <w:rsid w:val="00E41E07"/>
    <w:rsid w:val="00E44608"/>
    <w:rsid w:val="00E4555B"/>
    <w:rsid w:val="00E46282"/>
    <w:rsid w:val="00E50439"/>
    <w:rsid w:val="00E5216E"/>
    <w:rsid w:val="00E53FBB"/>
    <w:rsid w:val="00E540CF"/>
    <w:rsid w:val="00E54AA0"/>
    <w:rsid w:val="00E54F25"/>
    <w:rsid w:val="00E5529C"/>
    <w:rsid w:val="00E56438"/>
    <w:rsid w:val="00E569EB"/>
    <w:rsid w:val="00E57021"/>
    <w:rsid w:val="00E57626"/>
    <w:rsid w:val="00E611F4"/>
    <w:rsid w:val="00E62C0E"/>
    <w:rsid w:val="00E635FA"/>
    <w:rsid w:val="00E657C6"/>
    <w:rsid w:val="00E65D05"/>
    <w:rsid w:val="00E66BCD"/>
    <w:rsid w:val="00E74CA5"/>
    <w:rsid w:val="00E758A5"/>
    <w:rsid w:val="00E75D40"/>
    <w:rsid w:val="00E80738"/>
    <w:rsid w:val="00E80EB9"/>
    <w:rsid w:val="00E81965"/>
    <w:rsid w:val="00E81A88"/>
    <w:rsid w:val="00E81CC8"/>
    <w:rsid w:val="00E82344"/>
    <w:rsid w:val="00E84C82"/>
    <w:rsid w:val="00E84D64"/>
    <w:rsid w:val="00E85341"/>
    <w:rsid w:val="00E869FA"/>
    <w:rsid w:val="00E87408"/>
    <w:rsid w:val="00E914C4"/>
    <w:rsid w:val="00E933E5"/>
    <w:rsid w:val="00E934F5"/>
    <w:rsid w:val="00E93C29"/>
    <w:rsid w:val="00E95315"/>
    <w:rsid w:val="00E96961"/>
    <w:rsid w:val="00EA07CE"/>
    <w:rsid w:val="00EA2BBC"/>
    <w:rsid w:val="00EA43E0"/>
    <w:rsid w:val="00EA5600"/>
    <w:rsid w:val="00EA63AF"/>
    <w:rsid w:val="00EA7259"/>
    <w:rsid w:val="00EA72EC"/>
    <w:rsid w:val="00EB0593"/>
    <w:rsid w:val="00EB11CB"/>
    <w:rsid w:val="00EB1C71"/>
    <w:rsid w:val="00EB275A"/>
    <w:rsid w:val="00EB3EFC"/>
    <w:rsid w:val="00EB3F14"/>
    <w:rsid w:val="00EB57CA"/>
    <w:rsid w:val="00EB786A"/>
    <w:rsid w:val="00EC1578"/>
    <w:rsid w:val="00EC1BFC"/>
    <w:rsid w:val="00EC1C72"/>
    <w:rsid w:val="00EC3356"/>
    <w:rsid w:val="00EC3CC9"/>
    <w:rsid w:val="00EC5D85"/>
    <w:rsid w:val="00EC649B"/>
    <w:rsid w:val="00EC680A"/>
    <w:rsid w:val="00ED277E"/>
    <w:rsid w:val="00ED4F91"/>
    <w:rsid w:val="00ED50F2"/>
    <w:rsid w:val="00ED511C"/>
    <w:rsid w:val="00ED6DEE"/>
    <w:rsid w:val="00ED7229"/>
    <w:rsid w:val="00EE25CB"/>
    <w:rsid w:val="00EE2A7D"/>
    <w:rsid w:val="00EE2BED"/>
    <w:rsid w:val="00EE374B"/>
    <w:rsid w:val="00EE4A87"/>
    <w:rsid w:val="00EE4BE2"/>
    <w:rsid w:val="00EE506C"/>
    <w:rsid w:val="00EE61E1"/>
    <w:rsid w:val="00EF2869"/>
    <w:rsid w:val="00EF5540"/>
    <w:rsid w:val="00EF60BD"/>
    <w:rsid w:val="00EF636C"/>
    <w:rsid w:val="00EF7C08"/>
    <w:rsid w:val="00F032ED"/>
    <w:rsid w:val="00F05D60"/>
    <w:rsid w:val="00F07224"/>
    <w:rsid w:val="00F07FD3"/>
    <w:rsid w:val="00F10159"/>
    <w:rsid w:val="00F106EA"/>
    <w:rsid w:val="00F1096C"/>
    <w:rsid w:val="00F11BB5"/>
    <w:rsid w:val="00F1296C"/>
    <w:rsid w:val="00F12972"/>
    <w:rsid w:val="00F14102"/>
    <w:rsid w:val="00F1417B"/>
    <w:rsid w:val="00F1712D"/>
    <w:rsid w:val="00F174F5"/>
    <w:rsid w:val="00F17931"/>
    <w:rsid w:val="00F17A17"/>
    <w:rsid w:val="00F20218"/>
    <w:rsid w:val="00F208A0"/>
    <w:rsid w:val="00F2115E"/>
    <w:rsid w:val="00F21634"/>
    <w:rsid w:val="00F25FBF"/>
    <w:rsid w:val="00F27B3D"/>
    <w:rsid w:val="00F30ABD"/>
    <w:rsid w:val="00F310E4"/>
    <w:rsid w:val="00F316BF"/>
    <w:rsid w:val="00F31791"/>
    <w:rsid w:val="00F3355B"/>
    <w:rsid w:val="00F33AF5"/>
    <w:rsid w:val="00F34B99"/>
    <w:rsid w:val="00F40B02"/>
    <w:rsid w:val="00F41E81"/>
    <w:rsid w:val="00F44375"/>
    <w:rsid w:val="00F475F9"/>
    <w:rsid w:val="00F51368"/>
    <w:rsid w:val="00F51720"/>
    <w:rsid w:val="00F51CF2"/>
    <w:rsid w:val="00F52883"/>
    <w:rsid w:val="00F52DAB"/>
    <w:rsid w:val="00F543F0"/>
    <w:rsid w:val="00F55E3E"/>
    <w:rsid w:val="00F57601"/>
    <w:rsid w:val="00F62196"/>
    <w:rsid w:val="00F64F16"/>
    <w:rsid w:val="00F66147"/>
    <w:rsid w:val="00F6651E"/>
    <w:rsid w:val="00F72CB9"/>
    <w:rsid w:val="00F73F99"/>
    <w:rsid w:val="00F740EB"/>
    <w:rsid w:val="00F75F80"/>
    <w:rsid w:val="00F81D29"/>
    <w:rsid w:val="00F8282F"/>
    <w:rsid w:val="00F83905"/>
    <w:rsid w:val="00F84899"/>
    <w:rsid w:val="00F8534E"/>
    <w:rsid w:val="00F857B8"/>
    <w:rsid w:val="00F87925"/>
    <w:rsid w:val="00F90BE5"/>
    <w:rsid w:val="00F91C4D"/>
    <w:rsid w:val="00F923E5"/>
    <w:rsid w:val="00F92FD9"/>
    <w:rsid w:val="00FA37B1"/>
    <w:rsid w:val="00FA3E0B"/>
    <w:rsid w:val="00FA5AC9"/>
    <w:rsid w:val="00FA5EF7"/>
    <w:rsid w:val="00FA6684"/>
    <w:rsid w:val="00FA731E"/>
    <w:rsid w:val="00FA7573"/>
    <w:rsid w:val="00FA7BD0"/>
    <w:rsid w:val="00FB0215"/>
    <w:rsid w:val="00FB043D"/>
    <w:rsid w:val="00FB1C1C"/>
    <w:rsid w:val="00FB1DCF"/>
    <w:rsid w:val="00FB26B2"/>
    <w:rsid w:val="00FB2B38"/>
    <w:rsid w:val="00FB4C48"/>
    <w:rsid w:val="00FB61CE"/>
    <w:rsid w:val="00FB63FE"/>
    <w:rsid w:val="00FB7717"/>
    <w:rsid w:val="00FB7A07"/>
    <w:rsid w:val="00FC02F8"/>
    <w:rsid w:val="00FC04CC"/>
    <w:rsid w:val="00FC2066"/>
    <w:rsid w:val="00FC29D4"/>
    <w:rsid w:val="00FC5420"/>
    <w:rsid w:val="00FC61E2"/>
    <w:rsid w:val="00FC6358"/>
    <w:rsid w:val="00FD048C"/>
    <w:rsid w:val="00FD1381"/>
    <w:rsid w:val="00FD320D"/>
    <w:rsid w:val="00FE0811"/>
    <w:rsid w:val="00FE1B98"/>
    <w:rsid w:val="00FE23DE"/>
    <w:rsid w:val="00FF1801"/>
    <w:rsid w:val="00FF1805"/>
    <w:rsid w:val="00FF6842"/>
    <w:rsid w:val="01EE3DEE"/>
    <w:rsid w:val="028440C8"/>
    <w:rsid w:val="029070A0"/>
    <w:rsid w:val="02C34EEE"/>
    <w:rsid w:val="04563218"/>
    <w:rsid w:val="04A64D6A"/>
    <w:rsid w:val="04B25105"/>
    <w:rsid w:val="05191BCC"/>
    <w:rsid w:val="05583B8B"/>
    <w:rsid w:val="05EA06E6"/>
    <w:rsid w:val="06A66D03"/>
    <w:rsid w:val="07235258"/>
    <w:rsid w:val="07565195"/>
    <w:rsid w:val="07B51825"/>
    <w:rsid w:val="08EF23EB"/>
    <w:rsid w:val="08FB5391"/>
    <w:rsid w:val="091E40CF"/>
    <w:rsid w:val="09671489"/>
    <w:rsid w:val="096A0E22"/>
    <w:rsid w:val="0A9F23E7"/>
    <w:rsid w:val="0AE21606"/>
    <w:rsid w:val="0AEF77A4"/>
    <w:rsid w:val="0B703B4E"/>
    <w:rsid w:val="0B821D4D"/>
    <w:rsid w:val="0B9C2483"/>
    <w:rsid w:val="0BEA02A7"/>
    <w:rsid w:val="0C2317E0"/>
    <w:rsid w:val="0C271144"/>
    <w:rsid w:val="0C370BB5"/>
    <w:rsid w:val="0CA41025"/>
    <w:rsid w:val="0D364F65"/>
    <w:rsid w:val="0E115A89"/>
    <w:rsid w:val="0E986E61"/>
    <w:rsid w:val="0ED742DB"/>
    <w:rsid w:val="0F674586"/>
    <w:rsid w:val="0F8D4A71"/>
    <w:rsid w:val="0F972678"/>
    <w:rsid w:val="0FF812B4"/>
    <w:rsid w:val="10192B4E"/>
    <w:rsid w:val="102D3D0B"/>
    <w:rsid w:val="112D5C50"/>
    <w:rsid w:val="11A025A1"/>
    <w:rsid w:val="11B742D5"/>
    <w:rsid w:val="11CB47DF"/>
    <w:rsid w:val="12610568"/>
    <w:rsid w:val="131367CF"/>
    <w:rsid w:val="139323BD"/>
    <w:rsid w:val="144041ED"/>
    <w:rsid w:val="14E2368A"/>
    <w:rsid w:val="15022BE5"/>
    <w:rsid w:val="15064337"/>
    <w:rsid w:val="15093063"/>
    <w:rsid w:val="1512184D"/>
    <w:rsid w:val="15506E40"/>
    <w:rsid w:val="15576248"/>
    <w:rsid w:val="15BC4597"/>
    <w:rsid w:val="16BE6533"/>
    <w:rsid w:val="171F3459"/>
    <w:rsid w:val="179217AA"/>
    <w:rsid w:val="18E9353A"/>
    <w:rsid w:val="18F64ED3"/>
    <w:rsid w:val="19456A46"/>
    <w:rsid w:val="19646385"/>
    <w:rsid w:val="19A937A9"/>
    <w:rsid w:val="19AB7EFC"/>
    <w:rsid w:val="1A402B73"/>
    <w:rsid w:val="1AAD4EAD"/>
    <w:rsid w:val="1AF965B5"/>
    <w:rsid w:val="1B28433B"/>
    <w:rsid w:val="1BFB31F6"/>
    <w:rsid w:val="1CF31979"/>
    <w:rsid w:val="1D7A6F6C"/>
    <w:rsid w:val="1DB502F7"/>
    <w:rsid w:val="1DD07573"/>
    <w:rsid w:val="1E3429EF"/>
    <w:rsid w:val="1E705DB5"/>
    <w:rsid w:val="1F3B10BD"/>
    <w:rsid w:val="2020322B"/>
    <w:rsid w:val="20CC2E7B"/>
    <w:rsid w:val="2102441B"/>
    <w:rsid w:val="21461AAF"/>
    <w:rsid w:val="244560F1"/>
    <w:rsid w:val="258E50DA"/>
    <w:rsid w:val="25BE7278"/>
    <w:rsid w:val="26025BE4"/>
    <w:rsid w:val="2612163C"/>
    <w:rsid w:val="26545055"/>
    <w:rsid w:val="265D7B0E"/>
    <w:rsid w:val="27111F2F"/>
    <w:rsid w:val="27233601"/>
    <w:rsid w:val="27AF38A8"/>
    <w:rsid w:val="27EE1109"/>
    <w:rsid w:val="29971890"/>
    <w:rsid w:val="29AF19BE"/>
    <w:rsid w:val="29FE6E6C"/>
    <w:rsid w:val="2A4B5348"/>
    <w:rsid w:val="2AFA7B7C"/>
    <w:rsid w:val="2C701689"/>
    <w:rsid w:val="2C8B4122"/>
    <w:rsid w:val="2C9F6098"/>
    <w:rsid w:val="2D152F16"/>
    <w:rsid w:val="2D2B1461"/>
    <w:rsid w:val="2D430DC2"/>
    <w:rsid w:val="2DBD5EE9"/>
    <w:rsid w:val="2E5A3DAC"/>
    <w:rsid w:val="2ECF5FFB"/>
    <w:rsid w:val="2F511653"/>
    <w:rsid w:val="2FA770C7"/>
    <w:rsid w:val="2FC40BB7"/>
    <w:rsid w:val="2FE749FE"/>
    <w:rsid w:val="2FF36512"/>
    <w:rsid w:val="306560DE"/>
    <w:rsid w:val="30950492"/>
    <w:rsid w:val="31165068"/>
    <w:rsid w:val="31995D21"/>
    <w:rsid w:val="31D72E78"/>
    <w:rsid w:val="31EE6A29"/>
    <w:rsid w:val="33171AE0"/>
    <w:rsid w:val="339B6802"/>
    <w:rsid w:val="33A264B2"/>
    <w:rsid w:val="33C24EAB"/>
    <w:rsid w:val="342E3F3F"/>
    <w:rsid w:val="346D441F"/>
    <w:rsid w:val="35841B81"/>
    <w:rsid w:val="35D84B1F"/>
    <w:rsid w:val="35DC5D5C"/>
    <w:rsid w:val="373E2006"/>
    <w:rsid w:val="387A10C7"/>
    <w:rsid w:val="393416B8"/>
    <w:rsid w:val="39695A6C"/>
    <w:rsid w:val="39C47017"/>
    <w:rsid w:val="39CE2791"/>
    <w:rsid w:val="3A090092"/>
    <w:rsid w:val="3A9F1CCF"/>
    <w:rsid w:val="3ACD0039"/>
    <w:rsid w:val="3B4E7B72"/>
    <w:rsid w:val="3B626996"/>
    <w:rsid w:val="3C2327E1"/>
    <w:rsid w:val="3D6144D2"/>
    <w:rsid w:val="3E440AD1"/>
    <w:rsid w:val="3EB23790"/>
    <w:rsid w:val="3EB953C6"/>
    <w:rsid w:val="3FFB49A4"/>
    <w:rsid w:val="41466412"/>
    <w:rsid w:val="419D4904"/>
    <w:rsid w:val="41C95C96"/>
    <w:rsid w:val="42DD1620"/>
    <w:rsid w:val="43AF6ED5"/>
    <w:rsid w:val="43E22C96"/>
    <w:rsid w:val="44A5030F"/>
    <w:rsid w:val="454767FC"/>
    <w:rsid w:val="45640FE5"/>
    <w:rsid w:val="4863496E"/>
    <w:rsid w:val="48B512AF"/>
    <w:rsid w:val="49393654"/>
    <w:rsid w:val="497B08BF"/>
    <w:rsid w:val="49CD4E00"/>
    <w:rsid w:val="4ACC7228"/>
    <w:rsid w:val="4AD63215"/>
    <w:rsid w:val="4AF72EDD"/>
    <w:rsid w:val="4BBE5874"/>
    <w:rsid w:val="4D84103D"/>
    <w:rsid w:val="4D8E681C"/>
    <w:rsid w:val="4DB90A9D"/>
    <w:rsid w:val="4DD901D9"/>
    <w:rsid w:val="4F0F019B"/>
    <w:rsid w:val="4F1020ED"/>
    <w:rsid w:val="5079523B"/>
    <w:rsid w:val="50B119DF"/>
    <w:rsid w:val="511D31CD"/>
    <w:rsid w:val="51501312"/>
    <w:rsid w:val="519E087B"/>
    <w:rsid w:val="52227274"/>
    <w:rsid w:val="52DC7659"/>
    <w:rsid w:val="52FF3448"/>
    <w:rsid w:val="530D16BB"/>
    <w:rsid w:val="5344090E"/>
    <w:rsid w:val="53C600AB"/>
    <w:rsid w:val="54955B7D"/>
    <w:rsid w:val="54A477AD"/>
    <w:rsid w:val="54C30F81"/>
    <w:rsid w:val="55161F7B"/>
    <w:rsid w:val="556C694E"/>
    <w:rsid w:val="55A57753"/>
    <w:rsid w:val="55A772AB"/>
    <w:rsid w:val="56350DB4"/>
    <w:rsid w:val="56435481"/>
    <w:rsid w:val="56955A19"/>
    <w:rsid w:val="56EA13B9"/>
    <w:rsid w:val="572D17AE"/>
    <w:rsid w:val="57D84C6E"/>
    <w:rsid w:val="586A153E"/>
    <w:rsid w:val="58834EE0"/>
    <w:rsid w:val="58A9355E"/>
    <w:rsid w:val="59723A5E"/>
    <w:rsid w:val="59810D63"/>
    <w:rsid w:val="598D4F55"/>
    <w:rsid w:val="5A4D7877"/>
    <w:rsid w:val="5A586E6C"/>
    <w:rsid w:val="5B614CCD"/>
    <w:rsid w:val="5B9E2856"/>
    <w:rsid w:val="5BB85410"/>
    <w:rsid w:val="5BCE741F"/>
    <w:rsid w:val="5BFF272C"/>
    <w:rsid w:val="5C697490"/>
    <w:rsid w:val="5C7D6C21"/>
    <w:rsid w:val="5CE5561B"/>
    <w:rsid w:val="5D9E4A63"/>
    <w:rsid w:val="5DD0331F"/>
    <w:rsid w:val="5E003D96"/>
    <w:rsid w:val="5E304AB2"/>
    <w:rsid w:val="5E3B0C54"/>
    <w:rsid w:val="5E7F70C5"/>
    <w:rsid w:val="5E860858"/>
    <w:rsid w:val="5E8728E5"/>
    <w:rsid w:val="5EFB53AF"/>
    <w:rsid w:val="5F922AF6"/>
    <w:rsid w:val="5FCE4A2E"/>
    <w:rsid w:val="601B208C"/>
    <w:rsid w:val="607765E1"/>
    <w:rsid w:val="609357CB"/>
    <w:rsid w:val="610514FC"/>
    <w:rsid w:val="611B430D"/>
    <w:rsid w:val="6155425E"/>
    <w:rsid w:val="61C268B5"/>
    <w:rsid w:val="6233054B"/>
    <w:rsid w:val="62397136"/>
    <w:rsid w:val="65213148"/>
    <w:rsid w:val="653A4394"/>
    <w:rsid w:val="66660E25"/>
    <w:rsid w:val="66C9026B"/>
    <w:rsid w:val="66DC43CD"/>
    <w:rsid w:val="66E63020"/>
    <w:rsid w:val="66F708CC"/>
    <w:rsid w:val="673E5F91"/>
    <w:rsid w:val="6780302A"/>
    <w:rsid w:val="67990BC0"/>
    <w:rsid w:val="68117F73"/>
    <w:rsid w:val="68FC6F49"/>
    <w:rsid w:val="692302C5"/>
    <w:rsid w:val="69AD478E"/>
    <w:rsid w:val="6A116DEF"/>
    <w:rsid w:val="6AEA10C1"/>
    <w:rsid w:val="6B455DF8"/>
    <w:rsid w:val="6B74587D"/>
    <w:rsid w:val="6C773D59"/>
    <w:rsid w:val="6D7F6526"/>
    <w:rsid w:val="6D8754F4"/>
    <w:rsid w:val="6DD905A9"/>
    <w:rsid w:val="6F043822"/>
    <w:rsid w:val="6F437969"/>
    <w:rsid w:val="6F6C3357"/>
    <w:rsid w:val="6F85324F"/>
    <w:rsid w:val="6FC14D32"/>
    <w:rsid w:val="70433BF4"/>
    <w:rsid w:val="705C416A"/>
    <w:rsid w:val="708F4CF3"/>
    <w:rsid w:val="709A5CAE"/>
    <w:rsid w:val="71081025"/>
    <w:rsid w:val="713B22DA"/>
    <w:rsid w:val="71D44215"/>
    <w:rsid w:val="72CF6675"/>
    <w:rsid w:val="73C77B04"/>
    <w:rsid w:val="73CF6461"/>
    <w:rsid w:val="73D324F0"/>
    <w:rsid w:val="74277C5E"/>
    <w:rsid w:val="74DD0B6D"/>
    <w:rsid w:val="77493F8A"/>
    <w:rsid w:val="785750FC"/>
    <w:rsid w:val="785B20F2"/>
    <w:rsid w:val="789C4B6A"/>
    <w:rsid w:val="78D263E1"/>
    <w:rsid w:val="7942382B"/>
    <w:rsid w:val="7AE9230E"/>
    <w:rsid w:val="7BAA00B1"/>
    <w:rsid w:val="7E9E0DC9"/>
    <w:rsid w:val="7F4143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iPriority="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5"/>
    <w:basedOn w:val="1"/>
    <w:next w:val="1"/>
    <w:semiHidden/>
    <w:unhideWhenUsed/>
    <w:qFormat/>
    <w:uiPriority w:val="0"/>
    <w:pPr>
      <w:spacing w:beforeAutospacing="1" w:afterAutospacing="1"/>
      <w:jc w:val="left"/>
      <w:outlineLvl w:val="4"/>
    </w:pPr>
    <w:rPr>
      <w:rFonts w:hint="eastAsia" w:ascii="宋体" w:hAnsi="宋体"/>
      <w:b/>
      <w:bCs/>
      <w:kern w:val="0"/>
      <w:sz w:val="20"/>
      <w:szCs w:val="20"/>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Body Text"/>
    <w:basedOn w:val="1"/>
    <w:qFormat/>
    <w:uiPriority w:val="1"/>
    <w:rPr>
      <w:rFonts w:ascii="宋体" w:hAnsi="宋体" w:cs="宋体"/>
      <w:szCs w:val="21"/>
      <w:lang w:val="zh-CN" w:bidi="zh-CN"/>
    </w:rPr>
  </w:style>
  <w:style w:type="paragraph" w:styleId="5">
    <w:name w:val="toc 7"/>
    <w:basedOn w:val="1"/>
    <w:next w:val="1"/>
    <w:semiHidden/>
    <w:qFormat/>
    <w:uiPriority w:val="0"/>
    <w:pPr>
      <w:tabs>
        <w:tab w:val="right" w:leader="dot" w:pos="9241"/>
      </w:tabs>
      <w:ind w:firstLine="500" w:firstLineChars="500"/>
      <w:jc w:val="left"/>
    </w:pPr>
    <w:rPr>
      <w:rFonts w:ascii="宋体"/>
      <w:szCs w:val="21"/>
    </w:rPr>
  </w:style>
  <w:style w:type="paragraph" w:styleId="6">
    <w:name w:val="index 8"/>
    <w:basedOn w:val="1"/>
    <w:next w:val="1"/>
    <w:qFormat/>
    <w:uiPriority w:val="0"/>
    <w:pPr>
      <w:ind w:left="1680" w:hanging="210"/>
      <w:jc w:val="left"/>
    </w:pPr>
    <w:rPr>
      <w:rFonts w:ascii="Calibri" w:hAnsi="Calibri"/>
      <w:sz w:val="20"/>
      <w:szCs w:val="20"/>
    </w:r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index 5"/>
    <w:basedOn w:val="1"/>
    <w:next w:val="1"/>
    <w:qFormat/>
    <w:uiPriority w:val="0"/>
    <w:pPr>
      <w:ind w:left="1050" w:hanging="210"/>
      <w:jc w:val="left"/>
    </w:pPr>
    <w:rPr>
      <w:rFonts w:ascii="Calibri" w:hAnsi="Calibri"/>
      <w:sz w:val="20"/>
      <w:szCs w:val="20"/>
    </w:rPr>
  </w:style>
  <w:style w:type="paragraph" w:styleId="9">
    <w:name w:val="Document Map"/>
    <w:basedOn w:val="1"/>
    <w:semiHidden/>
    <w:qFormat/>
    <w:uiPriority w:val="0"/>
    <w:pPr>
      <w:shd w:val="clear" w:color="auto" w:fill="000080"/>
    </w:pPr>
  </w:style>
  <w:style w:type="paragraph" w:styleId="10">
    <w:name w:val="annotation text"/>
    <w:basedOn w:val="1"/>
    <w:link w:val="147"/>
    <w:semiHidden/>
    <w:unhideWhenUsed/>
    <w:qFormat/>
    <w:uiPriority w:val="0"/>
    <w:pPr>
      <w:jc w:val="left"/>
    </w:pPr>
  </w:style>
  <w:style w:type="paragraph" w:styleId="11">
    <w:name w:val="index 6"/>
    <w:basedOn w:val="1"/>
    <w:next w:val="1"/>
    <w:qFormat/>
    <w:uiPriority w:val="0"/>
    <w:pPr>
      <w:ind w:left="1260" w:hanging="210"/>
      <w:jc w:val="left"/>
    </w:pPr>
    <w:rPr>
      <w:rFonts w:ascii="Calibri" w:hAnsi="Calibri"/>
      <w:sz w:val="20"/>
      <w:szCs w:val="20"/>
    </w:rPr>
  </w:style>
  <w:style w:type="paragraph" w:styleId="12">
    <w:name w:val="index 4"/>
    <w:basedOn w:val="1"/>
    <w:next w:val="1"/>
    <w:qFormat/>
    <w:uiPriority w:val="0"/>
    <w:pPr>
      <w:ind w:left="840" w:hanging="210"/>
      <w:jc w:val="left"/>
    </w:pPr>
    <w:rPr>
      <w:rFonts w:ascii="Calibri" w:hAnsi="Calibri"/>
      <w:sz w:val="20"/>
      <w:szCs w:val="20"/>
    </w:rPr>
  </w:style>
  <w:style w:type="paragraph" w:styleId="13">
    <w:name w:val="toc 5"/>
    <w:basedOn w:val="1"/>
    <w:next w:val="1"/>
    <w:semiHidden/>
    <w:qFormat/>
    <w:uiPriority w:val="0"/>
    <w:pPr>
      <w:tabs>
        <w:tab w:val="right" w:leader="dot" w:pos="9241"/>
      </w:tabs>
      <w:ind w:firstLine="300" w:firstLineChars="300"/>
      <w:jc w:val="left"/>
    </w:pPr>
    <w:rPr>
      <w:rFonts w:ascii="宋体"/>
      <w:szCs w:val="21"/>
    </w:rPr>
  </w:style>
  <w:style w:type="paragraph" w:styleId="14">
    <w:name w:val="toc 3"/>
    <w:basedOn w:val="1"/>
    <w:next w:val="1"/>
    <w:qFormat/>
    <w:uiPriority w:val="39"/>
    <w:pPr>
      <w:tabs>
        <w:tab w:val="right" w:leader="dot" w:pos="9241"/>
      </w:tabs>
      <w:ind w:firstLine="100" w:firstLineChars="100"/>
      <w:jc w:val="left"/>
    </w:pPr>
    <w:rPr>
      <w:rFonts w:ascii="宋体"/>
      <w:szCs w:val="21"/>
    </w:rPr>
  </w:style>
  <w:style w:type="paragraph" w:styleId="15">
    <w:name w:val="toc 8"/>
    <w:basedOn w:val="1"/>
    <w:next w:val="1"/>
    <w:semiHidden/>
    <w:qFormat/>
    <w:uiPriority w:val="0"/>
    <w:pPr>
      <w:tabs>
        <w:tab w:val="right" w:leader="dot" w:pos="9241"/>
      </w:tabs>
      <w:ind w:firstLine="607" w:firstLineChars="600"/>
      <w:jc w:val="left"/>
    </w:pPr>
    <w:rPr>
      <w:rFonts w:ascii="宋体"/>
      <w:szCs w:val="21"/>
    </w:rPr>
  </w:style>
  <w:style w:type="paragraph" w:styleId="16">
    <w:name w:val="index 3"/>
    <w:basedOn w:val="1"/>
    <w:next w:val="1"/>
    <w:qFormat/>
    <w:uiPriority w:val="0"/>
    <w:pPr>
      <w:ind w:left="630" w:hanging="210"/>
      <w:jc w:val="left"/>
    </w:pPr>
    <w:rPr>
      <w:rFonts w:ascii="Calibri" w:hAnsi="Calibri"/>
      <w:sz w:val="20"/>
      <w:szCs w:val="20"/>
    </w:rPr>
  </w:style>
  <w:style w:type="paragraph" w:styleId="17">
    <w:name w:val="endnote text"/>
    <w:basedOn w:val="1"/>
    <w:semiHidden/>
    <w:qFormat/>
    <w:uiPriority w:val="0"/>
    <w:pPr>
      <w:snapToGrid w:val="0"/>
      <w:jc w:val="left"/>
    </w:pPr>
  </w:style>
  <w:style w:type="paragraph" w:styleId="18">
    <w:name w:val="Balloon Text"/>
    <w:basedOn w:val="1"/>
    <w:link w:val="146"/>
    <w:qFormat/>
    <w:uiPriority w:val="0"/>
    <w:rPr>
      <w:sz w:val="18"/>
      <w:szCs w:val="18"/>
    </w:rPr>
  </w:style>
  <w:style w:type="paragraph" w:styleId="19">
    <w:name w:val="footer"/>
    <w:basedOn w:val="1"/>
    <w:link w:val="152"/>
    <w:qFormat/>
    <w:uiPriority w:val="99"/>
    <w:pPr>
      <w:snapToGrid w:val="0"/>
      <w:ind w:right="210" w:rightChars="100"/>
      <w:jc w:val="right"/>
    </w:pPr>
    <w:rPr>
      <w:sz w:val="18"/>
      <w:szCs w:val="18"/>
    </w:rPr>
  </w:style>
  <w:style w:type="paragraph" w:styleId="20">
    <w:name w:val="header"/>
    <w:basedOn w:val="1"/>
    <w:qFormat/>
    <w:uiPriority w:val="0"/>
    <w:pPr>
      <w:snapToGrid w:val="0"/>
      <w:jc w:val="left"/>
    </w:pPr>
    <w:rPr>
      <w:sz w:val="18"/>
      <w:szCs w:val="18"/>
    </w:rPr>
  </w:style>
  <w:style w:type="paragraph" w:styleId="21">
    <w:name w:val="toc 1"/>
    <w:basedOn w:val="1"/>
    <w:next w:val="1"/>
    <w:qFormat/>
    <w:uiPriority w:val="39"/>
    <w:pPr>
      <w:tabs>
        <w:tab w:val="right" w:leader="dot" w:pos="9242"/>
      </w:tabs>
      <w:spacing w:beforeLines="25" w:afterLines="25"/>
      <w:jc w:val="left"/>
    </w:pPr>
    <w:rPr>
      <w:rFonts w:ascii="宋体"/>
      <w:szCs w:val="21"/>
    </w:rPr>
  </w:style>
  <w:style w:type="paragraph" w:styleId="22">
    <w:name w:val="toc 4"/>
    <w:basedOn w:val="1"/>
    <w:next w:val="1"/>
    <w:semiHidden/>
    <w:qFormat/>
    <w:uiPriority w:val="0"/>
    <w:pPr>
      <w:tabs>
        <w:tab w:val="right" w:leader="dot" w:pos="9241"/>
      </w:tabs>
      <w:ind w:firstLine="200" w:firstLineChars="200"/>
      <w:jc w:val="left"/>
    </w:pPr>
    <w:rPr>
      <w:rFonts w:ascii="宋体"/>
      <w:szCs w:val="21"/>
    </w:rPr>
  </w:style>
  <w:style w:type="paragraph" w:styleId="23">
    <w:name w:val="index heading"/>
    <w:basedOn w:val="1"/>
    <w:next w:val="24"/>
    <w:qFormat/>
    <w:uiPriority w:val="0"/>
    <w:pPr>
      <w:spacing w:before="120" w:after="120"/>
      <w:jc w:val="center"/>
    </w:pPr>
    <w:rPr>
      <w:rFonts w:ascii="Calibri" w:hAnsi="Calibri"/>
      <w:b/>
      <w:bCs/>
      <w:iCs/>
      <w:szCs w:val="20"/>
    </w:rPr>
  </w:style>
  <w:style w:type="paragraph" w:styleId="24">
    <w:name w:val="index 1"/>
    <w:basedOn w:val="1"/>
    <w:next w:val="25"/>
    <w:qFormat/>
    <w:uiPriority w:val="0"/>
    <w:pPr>
      <w:tabs>
        <w:tab w:val="right" w:leader="dot" w:pos="9299"/>
      </w:tabs>
      <w:jc w:val="left"/>
    </w:pPr>
    <w:rPr>
      <w:rFonts w:ascii="宋体"/>
      <w:szCs w:val="21"/>
    </w:rPr>
  </w:style>
  <w:style w:type="paragraph" w:customStyle="1" w:styleId="25">
    <w:name w:val="段"/>
    <w:link w:val="46"/>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6">
    <w:name w:val="footnote text"/>
    <w:basedOn w:val="1"/>
    <w:qFormat/>
    <w:uiPriority w:val="0"/>
    <w:pPr>
      <w:numPr>
        <w:ilvl w:val="0"/>
        <w:numId w:val="1"/>
      </w:numPr>
      <w:snapToGrid w:val="0"/>
      <w:jc w:val="left"/>
    </w:pPr>
    <w:rPr>
      <w:rFonts w:ascii="宋体"/>
      <w:sz w:val="18"/>
      <w:szCs w:val="18"/>
    </w:rPr>
  </w:style>
  <w:style w:type="paragraph" w:styleId="27">
    <w:name w:val="toc 6"/>
    <w:basedOn w:val="1"/>
    <w:next w:val="1"/>
    <w:semiHidden/>
    <w:qFormat/>
    <w:uiPriority w:val="0"/>
    <w:pPr>
      <w:tabs>
        <w:tab w:val="right" w:leader="dot" w:pos="9241"/>
      </w:tabs>
      <w:ind w:firstLine="400" w:firstLineChars="400"/>
      <w:jc w:val="left"/>
    </w:pPr>
    <w:rPr>
      <w:rFonts w:ascii="宋体"/>
      <w:szCs w:val="21"/>
    </w:rPr>
  </w:style>
  <w:style w:type="paragraph" w:styleId="28">
    <w:name w:val="index 7"/>
    <w:basedOn w:val="1"/>
    <w:next w:val="1"/>
    <w:qFormat/>
    <w:uiPriority w:val="0"/>
    <w:pPr>
      <w:ind w:left="1470" w:hanging="210"/>
      <w:jc w:val="left"/>
    </w:pPr>
    <w:rPr>
      <w:rFonts w:ascii="Calibri" w:hAnsi="Calibri"/>
      <w:sz w:val="20"/>
      <w:szCs w:val="20"/>
    </w:rPr>
  </w:style>
  <w:style w:type="paragraph" w:styleId="29">
    <w:name w:val="index 9"/>
    <w:basedOn w:val="1"/>
    <w:next w:val="1"/>
    <w:qFormat/>
    <w:uiPriority w:val="0"/>
    <w:pPr>
      <w:ind w:left="1890" w:hanging="210"/>
      <w:jc w:val="left"/>
    </w:pPr>
    <w:rPr>
      <w:rFonts w:ascii="Calibri" w:hAnsi="Calibri"/>
      <w:sz w:val="20"/>
      <w:szCs w:val="20"/>
    </w:rPr>
  </w:style>
  <w:style w:type="paragraph" w:styleId="30">
    <w:name w:val="toc 2"/>
    <w:basedOn w:val="1"/>
    <w:next w:val="1"/>
    <w:qFormat/>
    <w:uiPriority w:val="39"/>
    <w:pPr>
      <w:tabs>
        <w:tab w:val="right" w:leader="dot" w:pos="9242"/>
      </w:tabs>
    </w:pPr>
    <w:rPr>
      <w:rFonts w:ascii="宋体"/>
      <w:szCs w:val="21"/>
    </w:rPr>
  </w:style>
  <w:style w:type="paragraph" w:styleId="31">
    <w:name w:val="toc 9"/>
    <w:basedOn w:val="1"/>
    <w:next w:val="1"/>
    <w:semiHidden/>
    <w:qFormat/>
    <w:uiPriority w:val="0"/>
    <w:pPr>
      <w:ind w:left="1470"/>
      <w:jc w:val="left"/>
    </w:pPr>
    <w:rPr>
      <w:sz w:val="20"/>
      <w:szCs w:val="20"/>
    </w:rPr>
  </w:style>
  <w:style w:type="paragraph" w:styleId="32">
    <w:name w:val="Normal (Web)"/>
    <w:basedOn w:val="1"/>
    <w:semiHidden/>
    <w:unhideWhenUsed/>
    <w:qFormat/>
    <w:uiPriority w:val="0"/>
    <w:rPr>
      <w:sz w:val="24"/>
    </w:rPr>
  </w:style>
  <w:style w:type="paragraph" w:styleId="33">
    <w:name w:val="index 2"/>
    <w:basedOn w:val="1"/>
    <w:next w:val="1"/>
    <w:qFormat/>
    <w:uiPriority w:val="0"/>
    <w:pPr>
      <w:ind w:left="420" w:hanging="210"/>
      <w:jc w:val="left"/>
    </w:pPr>
    <w:rPr>
      <w:rFonts w:ascii="Calibri" w:hAnsi="Calibri"/>
      <w:sz w:val="20"/>
      <w:szCs w:val="20"/>
    </w:rPr>
  </w:style>
  <w:style w:type="paragraph" w:styleId="34">
    <w:name w:val="Title"/>
    <w:basedOn w:val="1"/>
    <w:next w:val="1"/>
    <w:qFormat/>
    <w:uiPriority w:val="0"/>
    <w:pPr>
      <w:spacing w:before="240" w:after="60"/>
      <w:jc w:val="center"/>
      <w:outlineLvl w:val="0"/>
    </w:pPr>
    <w:rPr>
      <w:rFonts w:ascii="Cambria" w:hAnsi="Cambria"/>
      <w:b/>
      <w:bCs/>
      <w:sz w:val="32"/>
      <w:szCs w:val="32"/>
    </w:rPr>
  </w:style>
  <w:style w:type="paragraph" w:styleId="35">
    <w:name w:val="annotation subject"/>
    <w:basedOn w:val="10"/>
    <w:next w:val="10"/>
    <w:link w:val="148"/>
    <w:semiHidden/>
    <w:unhideWhenUsed/>
    <w:qFormat/>
    <w:uiPriority w:val="99"/>
    <w:rPr>
      <w:b/>
      <w:bCs/>
    </w:rPr>
  </w:style>
  <w:style w:type="table" w:styleId="37">
    <w:name w:val="Table Grid"/>
    <w:basedOn w:val="36"/>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
    <w:name w:val="endnote reference"/>
    <w:semiHidden/>
    <w:qFormat/>
    <w:uiPriority w:val="0"/>
    <w:rPr>
      <w:vertAlign w:val="superscript"/>
    </w:rPr>
  </w:style>
  <w:style w:type="character" w:styleId="40">
    <w:name w:val="page number"/>
    <w:qFormat/>
    <w:uiPriority w:val="0"/>
    <w:rPr>
      <w:rFonts w:ascii="Times New Roman" w:hAnsi="Times New Roman" w:eastAsia="宋体"/>
      <w:sz w:val="18"/>
    </w:rPr>
  </w:style>
  <w:style w:type="character" w:styleId="41">
    <w:name w:val="FollowedHyperlink"/>
    <w:qFormat/>
    <w:uiPriority w:val="0"/>
    <w:rPr>
      <w:color w:val="800080"/>
      <w:u w:val="single"/>
    </w:rPr>
  </w:style>
  <w:style w:type="character" w:styleId="42">
    <w:name w:val="Emphasis"/>
    <w:basedOn w:val="38"/>
    <w:qFormat/>
    <w:uiPriority w:val="0"/>
    <w:rPr>
      <w:i/>
    </w:rPr>
  </w:style>
  <w:style w:type="character" w:styleId="43">
    <w:name w:val="Hyperlink"/>
    <w:basedOn w:val="38"/>
    <w:qFormat/>
    <w:uiPriority w:val="99"/>
    <w:rPr>
      <w:color w:val="0000FF"/>
      <w:spacing w:val="0"/>
      <w:w w:val="100"/>
      <w:szCs w:val="21"/>
      <w:u w:val="single"/>
    </w:rPr>
  </w:style>
  <w:style w:type="character" w:styleId="44">
    <w:name w:val="annotation reference"/>
    <w:basedOn w:val="38"/>
    <w:semiHidden/>
    <w:unhideWhenUsed/>
    <w:qFormat/>
    <w:uiPriority w:val="0"/>
    <w:rPr>
      <w:sz w:val="21"/>
      <w:szCs w:val="21"/>
    </w:rPr>
  </w:style>
  <w:style w:type="character" w:styleId="45">
    <w:name w:val="footnote reference"/>
    <w:semiHidden/>
    <w:qFormat/>
    <w:uiPriority w:val="0"/>
    <w:rPr>
      <w:vertAlign w:val="superscript"/>
    </w:rPr>
  </w:style>
  <w:style w:type="character" w:customStyle="1" w:styleId="46">
    <w:name w:val="段 Char"/>
    <w:link w:val="25"/>
    <w:qFormat/>
    <w:uiPriority w:val="0"/>
    <w:rPr>
      <w:rFonts w:ascii="宋体"/>
      <w:sz w:val="21"/>
      <w:lang w:val="en-US" w:eastAsia="zh-CN" w:bidi="ar-SA"/>
    </w:rPr>
  </w:style>
  <w:style w:type="paragraph" w:customStyle="1" w:styleId="47">
    <w:name w:val="一级条标题"/>
    <w:next w:val="25"/>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48">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9">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50">
    <w:name w:val="章标题"/>
    <w:next w:val="25"/>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51">
    <w:name w:val="二级条标题"/>
    <w:basedOn w:val="47"/>
    <w:next w:val="25"/>
    <w:qFormat/>
    <w:uiPriority w:val="0"/>
    <w:pPr>
      <w:numPr>
        <w:ilvl w:val="2"/>
      </w:numPr>
      <w:spacing w:before="50" w:after="50"/>
      <w:ind w:left="0"/>
      <w:outlineLvl w:val="3"/>
    </w:pPr>
  </w:style>
  <w:style w:type="paragraph" w:customStyle="1" w:styleId="52">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53">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54">
    <w:name w:val="列项●（二级）"/>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55">
    <w:name w:val="目次、标准名称标题"/>
    <w:basedOn w:val="1"/>
    <w:next w:val="25"/>
    <w:link w:val="144"/>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6">
    <w:name w:val="三级条标题"/>
    <w:basedOn w:val="51"/>
    <w:next w:val="25"/>
    <w:qFormat/>
    <w:uiPriority w:val="0"/>
    <w:pPr>
      <w:numPr>
        <w:ilvl w:val="3"/>
      </w:numPr>
      <w:outlineLvl w:val="4"/>
    </w:pPr>
  </w:style>
  <w:style w:type="paragraph" w:customStyle="1" w:styleId="57">
    <w:name w:val="示例"/>
    <w:next w:val="58"/>
    <w:qFormat/>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58">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59">
    <w:name w:val="数字编号列项（二级）"/>
    <w:qFormat/>
    <w:uiPriority w:val="0"/>
    <w:pPr>
      <w:numPr>
        <w:ilvl w:val="1"/>
        <w:numId w:val="5"/>
      </w:numPr>
      <w:tabs>
        <w:tab w:val="left" w:pos="839"/>
      </w:tabs>
      <w:jc w:val="both"/>
    </w:pPr>
    <w:rPr>
      <w:rFonts w:ascii="宋体" w:hAnsi="Times New Roman" w:eastAsia="宋体" w:cs="Times New Roman"/>
      <w:sz w:val="21"/>
      <w:lang w:val="en-US" w:eastAsia="zh-CN" w:bidi="ar-SA"/>
    </w:rPr>
  </w:style>
  <w:style w:type="paragraph" w:customStyle="1" w:styleId="60">
    <w:name w:val="四级条标题"/>
    <w:basedOn w:val="56"/>
    <w:next w:val="25"/>
    <w:qFormat/>
    <w:uiPriority w:val="0"/>
    <w:pPr>
      <w:numPr>
        <w:ilvl w:val="4"/>
      </w:numPr>
      <w:outlineLvl w:val="5"/>
    </w:pPr>
  </w:style>
  <w:style w:type="paragraph" w:customStyle="1" w:styleId="61">
    <w:name w:val="五级条标题"/>
    <w:basedOn w:val="60"/>
    <w:next w:val="25"/>
    <w:qFormat/>
    <w:uiPriority w:val="0"/>
    <w:pPr>
      <w:numPr>
        <w:ilvl w:val="5"/>
      </w:numPr>
      <w:outlineLvl w:val="6"/>
    </w:pPr>
  </w:style>
  <w:style w:type="paragraph" w:customStyle="1" w:styleId="62">
    <w:name w:val="注："/>
    <w:next w:val="25"/>
    <w:qFormat/>
    <w:uiPriority w:val="0"/>
    <w:pPr>
      <w:widowControl w:val="0"/>
      <w:numPr>
        <w:ilvl w:val="0"/>
        <w:numId w:val="6"/>
      </w:numPr>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63">
    <w:name w:val="注×："/>
    <w:qFormat/>
    <w:uiPriority w:val="0"/>
    <w:pPr>
      <w:widowControl w:val="0"/>
      <w:numPr>
        <w:ilvl w:val="0"/>
        <w:numId w:val="7"/>
      </w:numPr>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64">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65">
    <w:name w:val="列项◆（三级）"/>
    <w:basedOn w:val="1"/>
    <w:qFormat/>
    <w:uiPriority w:val="0"/>
    <w:pPr>
      <w:numPr>
        <w:ilvl w:val="2"/>
        <w:numId w:val="3"/>
      </w:numPr>
    </w:pPr>
    <w:rPr>
      <w:rFonts w:ascii="宋体"/>
      <w:szCs w:val="21"/>
    </w:rPr>
  </w:style>
  <w:style w:type="paragraph" w:customStyle="1" w:styleId="66">
    <w:name w:val="编号列项（三级）"/>
    <w:qFormat/>
    <w:uiPriority w:val="0"/>
    <w:pPr>
      <w:numPr>
        <w:ilvl w:val="2"/>
        <w:numId w:val="5"/>
      </w:numPr>
      <w:tabs>
        <w:tab w:val="left" w:pos="839"/>
      </w:tabs>
    </w:pPr>
    <w:rPr>
      <w:rFonts w:ascii="宋体" w:hAnsi="Times New Roman" w:eastAsia="宋体" w:cs="Times New Roman"/>
      <w:sz w:val="21"/>
      <w:lang w:val="en-US" w:eastAsia="zh-CN" w:bidi="ar-SA"/>
    </w:rPr>
  </w:style>
  <w:style w:type="paragraph" w:customStyle="1" w:styleId="67">
    <w:name w:val="示例×："/>
    <w:basedOn w:val="50"/>
    <w:qFormat/>
    <w:uiPriority w:val="0"/>
    <w:pPr>
      <w:numPr>
        <w:ilvl w:val="0"/>
        <w:numId w:val="8"/>
      </w:numPr>
      <w:spacing w:beforeLines="0" w:afterLines="0"/>
      <w:outlineLvl w:val="9"/>
    </w:pPr>
    <w:rPr>
      <w:rFonts w:ascii="宋体" w:eastAsia="宋体"/>
      <w:sz w:val="18"/>
      <w:szCs w:val="18"/>
    </w:rPr>
  </w:style>
  <w:style w:type="paragraph" w:customStyle="1" w:styleId="68">
    <w:name w:val="二级无"/>
    <w:basedOn w:val="51"/>
    <w:qFormat/>
    <w:uiPriority w:val="0"/>
    <w:pPr>
      <w:spacing w:beforeLines="0" w:afterLines="0"/>
    </w:pPr>
    <w:rPr>
      <w:rFonts w:ascii="宋体" w:eastAsia="宋体"/>
    </w:rPr>
  </w:style>
  <w:style w:type="paragraph" w:customStyle="1" w:styleId="69">
    <w:name w:val="注：（正文）"/>
    <w:basedOn w:val="62"/>
    <w:next w:val="25"/>
    <w:qFormat/>
    <w:uiPriority w:val="0"/>
    <w:pPr>
      <w:numPr>
        <w:numId w:val="9"/>
      </w:numPr>
      <w:ind w:left="726" w:hanging="363"/>
    </w:pPr>
  </w:style>
  <w:style w:type="paragraph" w:customStyle="1" w:styleId="70">
    <w:name w:val="注×：（正文）"/>
    <w:qFormat/>
    <w:uiPriority w:val="0"/>
    <w:pPr>
      <w:numPr>
        <w:ilvl w:val="0"/>
        <w:numId w:val="10"/>
      </w:numPr>
      <w:ind w:left="811" w:hanging="448"/>
      <w:jc w:val="both"/>
    </w:pPr>
    <w:rPr>
      <w:rFonts w:ascii="宋体" w:hAnsi="Times New Roman" w:eastAsia="宋体" w:cs="Times New Roman"/>
      <w:sz w:val="18"/>
      <w:szCs w:val="18"/>
      <w:lang w:val="en-US" w:eastAsia="zh-CN" w:bidi="ar-SA"/>
    </w:rPr>
  </w:style>
  <w:style w:type="paragraph" w:customStyle="1" w:styleId="71">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72">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3">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74">
    <w:name w:val="标准书眉_偶数页"/>
    <w:basedOn w:val="49"/>
    <w:next w:val="1"/>
    <w:qFormat/>
    <w:uiPriority w:val="0"/>
    <w:pPr>
      <w:jc w:val="left"/>
    </w:pPr>
  </w:style>
  <w:style w:type="paragraph" w:customStyle="1" w:styleId="75">
    <w:name w:val="标准书眉一"/>
    <w:qFormat/>
    <w:uiPriority w:val="0"/>
    <w:pPr>
      <w:jc w:val="both"/>
    </w:pPr>
    <w:rPr>
      <w:rFonts w:ascii="Times New Roman" w:hAnsi="Times New Roman" w:eastAsia="宋体" w:cs="Times New Roman"/>
      <w:lang w:val="en-US" w:eastAsia="zh-CN" w:bidi="ar-SA"/>
    </w:rPr>
  </w:style>
  <w:style w:type="paragraph" w:customStyle="1" w:styleId="76">
    <w:name w:val="参考文献"/>
    <w:basedOn w:val="1"/>
    <w:next w:val="25"/>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7">
    <w:name w:val="参考文献、索引标题"/>
    <w:basedOn w:val="1"/>
    <w:next w:val="25"/>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78">
    <w:name w:val="发布"/>
    <w:qFormat/>
    <w:uiPriority w:val="0"/>
    <w:rPr>
      <w:rFonts w:ascii="黑体" w:eastAsia="黑体"/>
      <w:spacing w:val="85"/>
      <w:w w:val="100"/>
      <w:position w:val="3"/>
      <w:sz w:val="28"/>
      <w:szCs w:val="28"/>
    </w:rPr>
  </w:style>
  <w:style w:type="paragraph" w:customStyle="1" w:styleId="79">
    <w:name w:val="发布部门"/>
    <w:next w:val="25"/>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0">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81">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2">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3">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封面标准英文名称"/>
    <w:basedOn w:val="83"/>
    <w:qFormat/>
    <w:uiPriority w:val="0"/>
    <w:pPr>
      <w:spacing w:before="370" w:line="400" w:lineRule="exact"/>
    </w:pPr>
    <w:rPr>
      <w:rFonts w:ascii="Times New Roman"/>
      <w:sz w:val="28"/>
      <w:szCs w:val="28"/>
    </w:rPr>
  </w:style>
  <w:style w:type="paragraph" w:customStyle="1" w:styleId="85">
    <w:name w:val="封面一致性程度标识"/>
    <w:basedOn w:val="84"/>
    <w:qFormat/>
    <w:uiPriority w:val="0"/>
    <w:pPr>
      <w:spacing w:before="440"/>
    </w:pPr>
    <w:rPr>
      <w:rFonts w:ascii="宋体" w:eastAsia="宋体"/>
    </w:rPr>
  </w:style>
  <w:style w:type="paragraph" w:customStyle="1" w:styleId="86">
    <w:name w:val="封面标准文稿类别"/>
    <w:basedOn w:val="85"/>
    <w:qFormat/>
    <w:uiPriority w:val="0"/>
    <w:pPr>
      <w:spacing w:after="160" w:line="240" w:lineRule="auto"/>
    </w:pPr>
    <w:rPr>
      <w:sz w:val="24"/>
    </w:rPr>
  </w:style>
  <w:style w:type="paragraph" w:customStyle="1" w:styleId="87">
    <w:name w:val="封面标准文稿编辑信息"/>
    <w:basedOn w:val="86"/>
    <w:qFormat/>
    <w:uiPriority w:val="0"/>
    <w:pPr>
      <w:spacing w:before="180" w:line="180" w:lineRule="exact"/>
    </w:pPr>
    <w:rPr>
      <w:sz w:val="21"/>
    </w:rPr>
  </w:style>
  <w:style w:type="paragraph" w:customStyle="1" w:styleId="88">
    <w:name w:val="封面正文"/>
    <w:qFormat/>
    <w:uiPriority w:val="0"/>
    <w:pPr>
      <w:jc w:val="both"/>
    </w:pPr>
    <w:rPr>
      <w:rFonts w:ascii="Times New Roman" w:hAnsi="Times New Roman" w:eastAsia="宋体" w:cs="Times New Roman"/>
      <w:lang w:val="en-US" w:eastAsia="zh-CN" w:bidi="ar-SA"/>
    </w:rPr>
  </w:style>
  <w:style w:type="paragraph" w:customStyle="1" w:styleId="89">
    <w:name w:val="附录标识"/>
    <w:basedOn w:val="1"/>
    <w:next w:val="25"/>
    <w:qFormat/>
    <w:uiPriority w:val="0"/>
    <w:pPr>
      <w:keepNext/>
      <w:widowControl/>
      <w:numPr>
        <w:ilvl w:val="0"/>
        <w:numId w:val="1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90">
    <w:name w:val="附录标题"/>
    <w:basedOn w:val="25"/>
    <w:next w:val="25"/>
    <w:qFormat/>
    <w:uiPriority w:val="0"/>
    <w:pPr>
      <w:ind w:firstLine="0" w:firstLineChars="0"/>
      <w:jc w:val="center"/>
    </w:pPr>
    <w:rPr>
      <w:rFonts w:ascii="黑体" w:eastAsia="黑体"/>
    </w:rPr>
  </w:style>
  <w:style w:type="paragraph" w:customStyle="1" w:styleId="91">
    <w:name w:val="附录表标号"/>
    <w:basedOn w:val="1"/>
    <w:next w:val="25"/>
    <w:qFormat/>
    <w:uiPriority w:val="0"/>
    <w:pPr>
      <w:numPr>
        <w:ilvl w:val="0"/>
        <w:numId w:val="12"/>
      </w:numPr>
      <w:tabs>
        <w:tab w:val="clear" w:pos="0"/>
      </w:tabs>
      <w:spacing w:line="14" w:lineRule="exact"/>
      <w:ind w:left="811" w:hanging="448"/>
      <w:jc w:val="center"/>
      <w:outlineLvl w:val="0"/>
    </w:pPr>
    <w:rPr>
      <w:color w:val="FFFFFF"/>
    </w:rPr>
  </w:style>
  <w:style w:type="paragraph" w:customStyle="1" w:styleId="92">
    <w:name w:val="附录表标题"/>
    <w:basedOn w:val="1"/>
    <w:next w:val="25"/>
    <w:qFormat/>
    <w:uiPriority w:val="0"/>
    <w:pPr>
      <w:numPr>
        <w:ilvl w:val="1"/>
        <w:numId w:val="12"/>
      </w:numPr>
      <w:tabs>
        <w:tab w:val="left" w:pos="180"/>
      </w:tabs>
      <w:spacing w:beforeLines="50" w:afterLines="50"/>
      <w:ind w:left="0" w:firstLine="0"/>
      <w:jc w:val="center"/>
    </w:pPr>
    <w:rPr>
      <w:rFonts w:ascii="黑体" w:eastAsia="黑体"/>
      <w:szCs w:val="21"/>
    </w:rPr>
  </w:style>
  <w:style w:type="paragraph" w:customStyle="1" w:styleId="93">
    <w:name w:val="附录二级条标题"/>
    <w:basedOn w:val="1"/>
    <w:next w:val="25"/>
    <w:qFormat/>
    <w:uiPriority w:val="0"/>
    <w:pPr>
      <w:widowControl/>
      <w:numPr>
        <w:ilvl w:val="3"/>
        <w:numId w:val="11"/>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4">
    <w:name w:val="附录二级无"/>
    <w:basedOn w:val="93"/>
    <w:qFormat/>
    <w:uiPriority w:val="0"/>
    <w:pPr>
      <w:tabs>
        <w:tab w:val="clear" w:pos="360"/>
      </w:tabs>
      <w:spacing w:beforeLines="0" w:afterLines="0"/>
    </w:pPr>
    <w:rPr>
      <w:rFonts w:ascii="宋体" w:eastAsia="宋体"/>
      <w:szCs w:val="21"/>
    </w:rPr>
  </w:style>
  <w:style w:type="paragraph" w:customStyle="1" w:styleId="95">
    <w:name w:val="附录公式"/>
    <w:basedOn w:val="25"/>
    <w:next w:val="25"/>
    <w:link w:val="96"/>
    <w:qFormat/>
    <w:uiPriority w:val="0"/>
  </w:style>
  <w:style w:type="character" w:customStyle="1" w:styleId="96">
    <w:name w:val="附录公式 Char"/>
    <w:basedOn w:val="46"/>
    <w:link w:val="95"/>
    <w:qFormat/>
    <w:uiPriority w:val="0"/>
    <w:rPr>
      <w:rFonts w:ascii="宋体"/>
      <w:sz w:val="21"/>
      <w:lang w:val="en-US" w:eastAsia="zh-CN" w:bidi="ar-SA"/>
    </w:rPr>
  </w:style>
  <w:style w:type="paragraph" w:customStyle="1" w:styleId="97">
    <w:name w:val="附录公式编号制表符"/>
    <w:basedOn w:val="1"/>
    <w:next w:val="25"/>
    <w:qFormat/>
    <w:uiPriority w:val="0"/>
    <w:pPr>
      <w:widowControl/>
      <w:tabs>
        <w:tab w:val="center" w:pos="4201"/>
        <w:tab w:val="right" w:leader="dot" w:pos="9298"/>
      </w:tabs>
      <w:autoSpaceDE w:val="0"/>
      <w:autoSpaceDN w:val="0"/>
    </w:pPr>
    <w:rPr>
      <w:rFonts w:ascii="宋体"/>
      <w:kern w:val="0"/>
      <w:szCs w:val="20"/>
    </w:rPr>
  </w:style>
  <w:style w:type="paragraph" w:customStyle="1" w:styleId="98">
    <w:name w:val="附录三级条标题"/>
    <w:basedOn w:val="93"/>
    <w:next w:val="25"/>
    <w:qFormat/>
    <w:uiPriority w:val="0"/>
    <w:pPr>
      <w:numPr>
        <w:ilvl w:val="4"/>
      </w:numPr>
      <w:outlineLvl w:val="4"/>
    </w:pPr>
  </w:style>
  <w:style w:type="paragraph" w:customStyle="1" w:styleId="99">
    <w:name w:val="附录三级无"/>
    <w:basedOn w:val="98"/>
    <w:qFormat/>
    <w:uiPriority w:val="0"/>
    <w:pPr>
      <w:tabs>
        <w:tab w:val="clear" w:pos="360"/>
      </w:tabs>
      <w:spacing w:beforeLines="0" w:afterLines="0"/>
    </w:pPr>
    <w:rPr>
      <w:rFonts w:ascii="宋体" w:eastAsia="宋体"/>
      <w:szCs w:val="21"/>
    </w:rPr>
  </w:style>
  <w:style w:type="paragraph" w:customStyle="1" w:styleId="100">
    <w:name w:val="附录数字编号列项（二级）"/>
    <w:qFormat/>
    <w:uiPriority w:val="0"/>
    <w:pPr>
      <w:numPr>
        <w:ilvl w:val="1"/>
        <w:numId w:val="13"/>
      </w:numPr>
    </w:pPr>
    <w:rPr>
      <w:rFonts w:ascii="宋体" w:hAnsi="Times New Roman" w:eastAsia="宋体" w:cs="Times New Roman"/>
      <w:sz w:val="21"/>
      <w:lang w:val="en-US" w:eastAsia="zh-CN" w:bidi="ar-SA"/>
    </w:rPr>
  </w:style>
  <w:style w:type="paragraph" w:customStyle="1" w:styleId="101">
    <w:name w:val="附录四级条标题"/>
    <w:basedOn w:val="98"/>
    <w:next w:val="25"/>
    <w:qFormat/>
    <w:uiPriority w:val="0"/>
    <w:pPr>
      <w:numPr>
        <w:ilvl w:val="5"/>
      </w:numPr>
      <w:outlineLvl w:val="5"/>
    </w:pPr>
  </w:style>
  <w:style w:type="paragraph" w:customStyle="1" w:styleId="102">
    <w:name w:val="附录四级无"/>
    <w:basedOn w:val="101"/>
    <w:qFormat/>
    <w:uiPriority w:val="0"/>
    <w:pPr>
      <w:tabs>
        <w:tab w:val="clear" w:pos="360"/>
      </w:tabs>
      <w:spacing w:beforeLines="0" w:afterLines="0"/>
    </w:pPr>
    <w:rPr>
      <w:rFonts w:ascii="宋体" w:eastAsia="宋体"/>
      <w:szCs w:val="21"/>
    </w:rPr>
  </w:style>
  <w:style w:type="paragraph" w:customStyle="1" w:styleId="103">
    <w:name w:val="附录图标号"/>
    <w:basedOn w:val="1"/>
    <w:qFormat/>
    <w:uiPriority w:val="0"/>
    <w:pPr>
      <w:keepNext/>
      <w:pageBreakBefore/>
      <w:widowControl/>
      <w:numPr>
        <w:ilvl w:val="0"/>
        <w:numId w:val="14"/>
      </w:numPr>
      <w:spacing w:line="14" w:lineRule="exact"/>
      <w:ind w:left="0" w:firstLine="363"/>
      <w:jc w:val="center"/>
      <w:outlineLvl w:val="0"/>
    </w:pPr>
    <w:rPr>
      <w:color w:val="FFFFFF"/>
    </w:rPr>
  </w:style>
  <w:style w:type="paragraph" w:customStyle="1" w:styleId="104">
    <w:name w:val="附录图标题"/>
    <w:basedOn w:val="1"/>
    <w:next w:val="25"/>
    <w:qFormat/>
    <w:uiPriority w:val="0"/>
    <w:pPr>
      <w:numPr>
        <w:ilvl w:val="1"/>
        <w:numId w:val="14"/>
      </w:numPr>
      <w:tabs>
        <w:tab w:val="left" w:pos="363"/>
      </w:tabs>
      <w:spacing w:beforeLines="50" w:afterLines="50"/>
      <w:ind w:left="0" w:firstLine="0"/>
      <w:jc w:val="center"/>
    </w:pPr>
    <w:rPr>
      <w:rFonts w:ascii="黑体" w:eastAsia="黑体"/>
      <w:szCs w:val="21"/>
    </w:rPr>
  </w:style>
  <w:style w:type="paragraph" w:customStyle="1" w:styleId="105">
    <w:name w:val="附录五级条标题"/>
    <w:basedOn w:val="101"/>
    <w:next w:val="25"/>
    <w:qFormat/>
    <w:uiPriority w:val="0"/>
    <w:pPr>
      <w:numPr>
        <w:ilvl w:val="6"/>
      </w:numPr>
      <w:outlineLvl w:val="6"/>
    </w:pPr>
  </w:style>
  <w:style w:type="paragraph" w:customStyle="1" w:styleId="106">
    <w:name w:val="附录五级无"/>
    <w:basedOn w:val="105"/>
    <w:qFormat/>
    <w:uiPriority w:val="0"/>
    <w:pPr>
      <w:tabs>
        <w:tab w:val="clear" w:pos="360"/>
      </w:tabs>
      <w:spacing w:beforeLines="0" w:afterLines="0"/>
    </w:pPr>
    <w:rPr>
      <w:rFonts w:ascii="宋体" w:eastAsia="宋体"/>
      <w:szCs w:val="21"/>
    </w:rPr>
  </w:style>
  <w:style w:type="paragraph" w:customStyle="1" w:styleId="107">
    <w:name w:val="附录章标题"/>
    <w:next w:val="25"/>
    <w:qFormat/>
    <w:uiPriority w:val="0"/>
    <w:pPr>
      <w:numPr>
        <w:ilvl w:val="1"/>
        <w:numId w:val="11"/>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08">
    <w:name w:val="附录一级条标题"/>
    <w:basedOn w:val="107"/>
    <w:next w:val="25"/>
    <w:qFormat/>
    <w:uiPriority w:val="0"/>
    <w:pPr>
      <w:numPr>
        <w:ilvl w:val="2"/>
      </w:numPr>
      <w:autoSpaceDN w:val="0"/>
      <w:spacing w:beforeLines="50" w:afterLines="50"/>
      <w:outlineLvl w:val="2"/>
    </w:pPr>
  </w:style>
  <w:style w:type="paragraph" w:customStyle="1" w:styleId="109">
    <w:name w:val="附录一级无"/>
    <w:basedOn w:val="108"/>
    <w:qFormat/>
    <w:uiPriority w:val="0"/>
    <w:pPr>
      <w:tabs>
        <w:tab w:val="clear" w:pos="360"/>
      </w:tabs>
      <w:spacing w:beforeLines="0" w:afterLines="0"/>
    </w:pPr>
    <w:rPr>
      <w:rFonts w:ascii="宋体" w:eastAsia="宋体"/>
      <w:szCs w:val="21"/>
    </w:rPr>
  </w:style>
  <w:style w:type="paragraph" w:customStyle="1" w:styleId="110">
    <w:name w:val="附录字母编号列项（一级）"/>
    <w:qFormat/>
    <w:uiPriority w:val="0"/>
    <w:pPr>
      <w:numPr>
        <w:ilvl w:val="0"/>
        <w:numId w:val="13"/>
      </w:numPr>
    </w:pPr>
    <w:rPr>
      <w:rFonts w:ascii="宋体" w:hAnsi="Times New Roman" w:eastAsia="宋体" w:cs="Times New Roman"/>
      <w:sz w:val="21"/>
      <w:lang w:val="en-US" w:eastAsia="zh-CN" w:bidi="ar-SA"/>
    </w:rPr>
  </w:style>
  <w:style w:type="paragraph" w:customStyle="1" w:styleId="111">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2">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1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4">
    <w:name w:val="其他标准标志"/>
    <w:basedOn w:val="71"/>
    <w:qFormat/>
    <w:uiPriority w:val="0"/>
    <w:pPr>
      <w:framePr w:w="6101" w:vAnchor="page" w:hAnchor="page" w:x="4673" w:y="942"/>
    </w:pPr>
    <w:rPr>
      <w:w w:val="130"/>
    </w:rPr>
  </w:style>
  <w:style w:type="paragraph" w:customStyle="1" w:styleId="115">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6">
    <w:name w:val="其他发布部门"/>
    <w:basedOn w:val="79"/>
    <w:qFormat/>
    <w:uiPriority w:val="0"/>
    <w:pPr>
      <w:framePr w:y="15310"/>
      <w:spacing w:line="0" w:lineRule="atLeast"/>
    </w:pPr>
    <w:rPr>
      <w:rFonts w:ascii="黑体" w:eastAsia="黑体"/>
      <w:b w:val="0"/>
    </w:rPr>
  </w:style>
  <w:style w:type="paragraph" w:customStyle="1" w:styleId="117">
    <w:name w:val="前言、引言标题"/>
    <w:next w:val="25"/>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8">
    <w:name w:val="三级无"/>
    <w:basedOn w:val="56"/>
    <w:qFormat/>
    <w:uiPriority w:val="0"/>
    <w:pPr>
      <w:spacing w:beforeLines="0" w:afterLines="0"/>
    </w:pPr>
    <w:rPr>
      <w:rFonts w:ascii="宋体" w:eastAsia="宋体"/>
    </w:rPr>
  </w:style>
  <w:style w:type="paragraph" w:customStyle="1" w:styleId="119">
    <w:name w:val="实施日期"/>
    <w:qFormat/>
    <w:uiPriority w:val="0"/>
    <w:pPr>
      <w:framePr w:w="3997" w:h="471" w:hRule="exact" w:vSpace="181" w:wrap="around" w:vAnchor="page" w:hAnchor="page" w:x="7089" w:y="14097"/>
      <w:jc w:val="right"/>
    </w:pPr>
    <w:rPr>
      <w:rFonts w:ascii="Times New Roman" w:hAnsi="Times New Roman" w:eastAsia="黑体" w:cs="Times New Roman"/>
      <w:sz w:val="28"/>
      <w:lang w:val="en-US" w:eastAsia="zh-CN" w:bidi="ar-SA"/>
    </w:rPr>
  </w:style>
  <w:style w:type="paragraph" w:customStyle="1" w:styleId="120">
    <w:name w:val="示例后文字"/>
    <w:basedOn w:val="25"/>
    <w:next w:val="25"/>
    <w:qFormat/>
    <w:uiPriority w:val="0"/>
    <w:pPr>
      <w:ind w:firstLine="360"/>
    </w:pPr>
    <w:rPr>
      <w:sz w:val="18"/>
    </w:rPr>
  </w:style>
  <w:style w:type="paragraph" w:customStyle="1" w:styleId="121">
    <w:name w:val="首示例"/>
    <w:next w:val="25"/>
    <w:link w:val="122"/>
    <w:qFormat/>
    <w:uiPriority w:val="0"/>
    <w:pPr>
      <w:tabs>
        <w:tab w:val="left" w:pos="360"/>
      </w:tabs>
    </w:pPr>
    <w:rPr>
      <w:rFonts w:ascii="宋体" w:hAnsi="宋体" w:eastAsia="宋体" w:cs="Times New Roman"/>
      <w:kern w:val="2"/>
      <w:sz w:val="18"/>
      <w:szCs w:val="18"/>
      <w:lang w:val="en-US" w:eastAsia="zh-CN" w:bidi="ar-SA"/>
    </w:rPr>
  </w:style>
  <w:style w:type="character" w:customStyle="1" w:styleId="122">
    <w:name w:val="首示例 Char"/>
    <w:link w:val="121"/>
    <w:qFormat/>
    <w:uiPriority w:val="0"/>
    <w:rPr>
      <w:rFonts w:ascii="宋体" w:hAnsi="宋体"/>
      <w:kern w:val="2"/>
      <w:sz w:val="18"/>
      <w:szCs w:val="18"/>
    </w:rPr>
  </w:style>
  <w:style w:type="paragraph" w:customStyle="1" w:styleId="123">
    <w:name w:val="四级无"/>
    <w:basedOn w:val="60"/>
    <w:qFormat/>
    <w:uiPriority w:val="0"/>
    <w:pPr>
      <w:spacing w:beforeLines="0" w:afterLines="0"/>
    </w:pPr>
    <w:rPr>
      <w:rFonts w:ascii="宋体" w:eastAsia="宋体"/>
    </w:rPr>
  </w:style>
  <w:style w:type="paragraph" w:customStyle="1" w:styleId="124">
    <w:name w:val="条文脚注"/>
    <w:basedOn w:val="26"/>
    <w:qFormat/>
    <w:uiPriority w:val="0"/>
    <w:pPr>
      <w:numPr>
        <w:numId w:val="0"/>
      </w:numPr>
      <w:jc w:val="both"/>
    </w:pPr>
  </w:style>
  <w:style w:type="paragraph" w:customStyle="1" w:styleId="125">
    <w:name w:val="图标脚注说明"/>
    <w:basedOn w:val="25"/>
    <w:qFormat/>
    <w:uiPriority w:val="0"/>
    <w:pPr>
      <w:ind w:left="840" w:hanging="420" w:firstLineChars="0"/>
    </w:pPr>
    <w:rPr>
      <w:sz w:val="18"/>
      <w:szCs w:val="18"/>
    </w:rPr>
  </w:style>
  <w:style w:type="paragraph" w:customStyle="1" w:styleId="126">
    <w:name w:val="图表脚注说明"/>
    <w:basedOn w:val="1"/>
    <w:qFormat/>
    <w:uiPriority w:val="0"/>
    <w:pPr>
      <w:numPr>
        <w:ilvl w:val="0"/>
        <w:numId w:val="15"/>
      </w:numPr>
    </w:pPr>
    <w:rPr>
      <w:rFonts w:ascii="宋体"/>
      <w:sz w:val="18"/>
      <w:szCs w:val="18"/>
    </w:rPr>
  </w:style>
  <w:style w:type="paragraph" w:customStyle="1" w:styleId="127">
    <w:name w:val="图的脚注"/>
    <w:next w:val="25"/>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8">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9">
    <w:name w:val="五级无"/>
    <w:basedOn w:val="61"/>
    <w:qFormat/>
    <w:uiPriority w:val="0"/>
    <w:pPr>
      <w:spacing w:beforeLines="0" w:afterLines="0"/>
    </w:pPr>
    <w:rPr>
      <w:rFonts w:ascii="宋体" w:eastAsia="宋体"/>
    </w:rPr>
  </w:style>
  <w:style w:type="paragraph" w:customStyle="1" w:styleId="130">
    <w:name w:val="一级无"/>
    <w:basedOn w:val="47"/>
    <w:qFormat/>
    <w:uiPriority w:val="0"/>
    <w:pPr>
      <w:spacing w:beforeLines="0" w:afterLines="0"/>
    </w:pPr>
    <w:rPr>
      <w:rFonts w:ascii="宋体" w:eastAsia="宋体"/>
    </w:rPr>
  </w:style>
  <w:style w:type="paragraph" w:customStyle="1" w:styleId="131">
    <w:name w:val="正文表标题"/>
    <w:next w:val="25"/>
    <w:qFormat/>
    <w:uiPriority w:val="0"/>
    <w:pPr>
      <w:numPr>
        <w:ilvl w:val="0"/>
        <w:numId w:val="16"/>
      </w:numPr>
      <w:spacing w:beforeLines="50" w:afterLines="50"/>
      <w:jc w:val="center"/>
    </w:pPr>
    <w:rPr>
      <w:rFonts w:ascii="黑体" w:hAnsi="Times New Roman" w:eastAsia="黑体" w:cs="Times New Roman"/>
      <w:sz w:val="21"/>
      <w:lang w:val="en-US" w:eastAsia="zh-CN" w:bidi="ar-SA"/>
    </w:rPr>
  </w:style>
  <w:style w:type="paragraph" w:customStyle="1" w:styleId="132">
    <w:name w:val="正文公式编号制表符"/>
    <w:basedOn w:val="25"/>
    <w:next w:val="25"/>
    <w:qFormat/>
    <w:uiPriority w:val="0"/>
    <w:pPr>
      <w:ind w:firstLine="0" w:firstLineChars="0"/>
    </w:pPr>
  </w:style>
  <w:style w:type="paragraph" w:customStyle="1" w:styleId="133">
    <w:name w:val="正文图标题"/>
    <w:next w:val="25"/>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34">
    <w:name w:val="终结线"/>
    <w:basedOn w:val="1"/>
    <w:qFormat/>
    <w:uiPriority w:val="0"/>
    <w:pPr>
      <w:framePr w:hSpace="181" w:vSpace="181" w:wrap="around" w:vAnchor="text" w:hAnchor="margin" w:xAlign="center" w:y="285"/>
    </w:pPr>
  </w:style>
  <w:style w:type="paragraph" w:customStyle="1" w:styleId="135">
    <w:name w:val="其他发布日期"/>
    <w:qFormat/>
    <w:uiPriority w:val="0"/>
    <w:pPr>
      <w:framePr w:w="3997" w:h="471" w:hRule="exact" w:vSpace="181" w:wrap="around" w:vAnchor="page" w:hAnchor="page" w:x="1419" w:y="14097" w:anchorLock="1"/>
    </w:pPr>
    <w:rPr>
      <w:rFonts w:ascii="Times New Roman" w:hAnsi="Times New Roman" w:eastAsia="黑体" w:cs="Times New Roman"/>
      <w:sz w:val="28"/>
      <w:lang w:val="en-US" w:eastAsia="zh-CN" w:bidi="ar-SA"/>
    </w:rPr>
  </w:style>
  <w:style w:type="paragraph" w:customStyle="1" w:styleId="136">
    <w:name w:val="其他实施日期"/>
    <w:basedOn w:val="119"/>
    <w:qFormat/>
    <w:uiPriority w:val="0"/>
  </w:style>
  <w:style w:type="paragraph" w:customStyle="1" w:styleId="137">
    <w:name w:val="封面标准名称2"/>
    <w:basedOn w:val="83"/>
    <w:qFormat/>
    <w:uiPriority w:val="0"/>
    <w:pPr>
      <w:framePr w:y="4469"/>
      <w:spacing w:beforeLines="630"/>
    </w:pPr>
  </w:style>
  <w:style w:type="paragraph" w:customStyle="1" w:styleId="138">
    <w:name w:val="封面标准英文名称2"/>
    <w:basedOn w:val="84"/>
    <w:qFormat/>
    <w:uiPriority w:val="0"/>
    <w:pPr>
      <w:framePr w:y="4469"/>
    </w:pPr>
  </w:style>
  <w:style w:type="paragraph" w:customStyle="1" w:styleId="139">
    <w:name w:val="封面一致性程度标识2"/>
    <w:basedOn w:val="85"/>
    <w:qFormat/>
    <w:uiPriority w:val="0"/>
    <w:pPr>
      <w:framePr w:y="4469"/>
    </w:pPr>
  </w:style>
  <w:style w:type="paragraph" w:customStyle="1" w:styleId="140">
    <w:name w:val="封面标准文稿类别2"/>
    <w:basedOn w:val="86"/>
    <w:qFormat/>
    <w:uiPriority w:val="0"/>
    <w:pPr>
      <w:framePr w:y="4469"/>
    </w:pPr>
  </w:style>
  <w:style w:type="paragraph" w:customStyle="1" w:styleId="141">
    <w:name w:val="封面标准文稿编辑信息2"/>
    <w:basedOn w:val="87"/>
    <w:qFormat/>
    <w:uiPriority w:val="0"/>
    <w:pPr>
      <w:framePr w:y="4469"/>
    </w:pPr>
  </w:style>
  <w:style w:type="paragraph" w:customStyle="1" w:styleId="142">
    <w:name w:val="标准名称"/>
    <w:basedOn w:val="55"/>
    <w:link w:val="145"/>
    <w:qFormat/>
    <w:uiPriority w:val="0"/>
  </w:style>
  <w:style w:type="character" w:styleId="143">
    <w:name w:val="Placeholder Text"/>
    <w:basedOn w:val="38"/>
    <w:semiHidden/>
    <w:qFormat/>
    <w:uiPriority w:val="99"/>
    <w:rPr>
      <w:color w:val="808080"/>
    </w:rPr>
  </w:style>
  <w:style w:type="character" w:customStyle="1" w:styleId="144">
    <w:name w:val="目次、标准名称标题 Char"/>
    <w:basedOn w:val="38"/>
    <w:link w:val="55"/>
    <w:qFormat/>
    <w:uiPriority w:val="0"/>
    <w:rPr>
      <w:rFonts w:ascii="黑体" w:eastAsia="黑体"/>
      <w:sz w:val="32"/>
      <w:shd w:val="clear" w:color="FFFFFF" w:fill="FFFFFF"/>
    </w:rPr>
  </w:style>
  <w:style w:type="character" w:customStyle="1" w:styleId="145">
    <w:name w:val="标准名称 Char"/>
    <w:basedOn w:val="144"/>
    <w:link w:val="142"/>
    <w:qFormat/>
    <w:uiPriority w:val="0"/>
    <w:rPr>
      <w:rFonts w:ascii="黑体" w:eastAsia="黑体"/>
      <w:sz w:val="32"/>
      <w:shd w:val="clear" w:color="FFFFFF" w:fill="FFFFFF"/>
    </w:rPr>
  </w:style>
  <w:style w:type="character" w:customStyle="1" w:styleId="146">
    <w:name w:val="批注框文本 Char"/>
    <w:basedOn w:val="38"/>
    <w:link w:val="18"/>
    <w:qFormat/>
    <w:uiPriority w:val="0"/>
    <w:rPr>
      <w:kern w:val="2"/>
      <w:sz w:val="18"/>
      <w:szCs w:val="18"/>
    </w:rPr>
  </w:style>
  <w:style w:type="character" w:customStyle="1" w:styleId="147">
    <w:name w:val="批注文字 Char"/>
    <w:basedOn w:val="38"/>
    <w:link w:val="10"/>
    <w:semiHidden/>
    <w:qFormat/>
    <w:uiPriority w:val="0"/>
    <w:rPr>
      <w:kern w:val="2"/>
      <w:sz w:val="21"/>
      <w:szCs w:val="24"/>
    </w:rPr>
  </w:style>
  <w:style w:type="character" w:customStyle="1" w:styleId="148">
    <w:name w:val="批注主题 Char"/>
    <w:basedOn w:val="147"/>
    <w:link w:val="35"/>
    <w:semiHidden/>
    <w:qFormat/>
    <w:uiPriority w:val="99"/>
    <w:rPr>
      <w:b/>
      <w:bCs/>
      <w:kern w:val="2"/>
      <w:sz w:val="21"/>
      <w:szCs w:val="24"/>
    </w:rPr>
  </w:style>
  <w:style w:type="paragraph" w:customStyle="1" w:styleId="149">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50">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51">
    <w:name w:val="Table Paragraph"/>
    <w:basedOn w:val="1"/>
    <w:qFormat/>
    <w:uiPriority w:val="1"/>
    <w:pPr>
      <w:spacing w:line="252" w:lineRule="exact"/>
      <w:jc w:val="center"/>
    </w:pPr>
    <w:rPr>
      <w:rFonts w:ascii="宋体" w:hAnsi="宋体" w:cs="宋体"/>
      <w:lang w:val="zh-CN" w:bidi="zh-CN"/>
    </w:rPr>
  </w:style>
  <w:style w:type="character" w:customStyle="1" w:styleId="152">
    <w:name w:val="页脚 Char"/>
    <w:basedOn w:val="38"/>
    <w:link w:val="19"/>
    <w:qFormat/>
    <w:uiPriority w:val="99"/>
    <w:rPr>
      <w:rFonts w:ascii="Times New Roman" w:hAnsi="Times New Roman" w:eastAsia="宋体" w:cs="Times New Roman"/>
      <w:kern w:val="2"/>
      <w:sz w:val="18"/>
      <w:szCs w:val="18"/>
    </w:rPr>
  </w:style>
  <w:style w:type="paragraph" w:styleId="153">
    <w:name w:val="List Paragraph"/>
    <w:basedOn w:val="1"/>
    <w:unhideWhenUsed/>
    <w:qFormat/>
    <w:uiPriority w:val="34"/>
    <w:pPr>
      <w:ind w:firstLine="420" w:firstLineChars="200"/>
    </w:pPr>
  </w:style>
  <w:style w:type="character" w:customStyle="1" w:styleId="154">
    <w:name w:val="Body text|2 + Times New Roman"/>
    <w:unhideWhenUsed/>
    <w:qFormat/>
    <w:uiPriority w:val="0"/>
    <w:rPr>
      <w:rFonts w:ascii="Times New Roman" w:hAnsi="Times New Roman" w:eastAsia="Times New Roman" w:cs="Times New Roman"/>
      <w:color w:val="000000"/>
      <w:spacing w:val="0"/>
      <w:w w:val="100"/>
      <w:kern w:val="0"/>
      <w:position w:val="0"/>
      <w:sz w:val="44"/>
      <w:szCs w:val="44"/>
      <w:u w:val="none"/>
      <w:lang w:val="en-US" w:eastAsia="en-US" w:bidi="en-US"/>
    </w:rPr>
  </w:style>
  <w:style w:type="character" w:customStyle="1" w:styleId="155">
    <w:name w:val="Body text|2 + 10.5 pt"/>
    <w:unhideWhenUsed/>
    <w:qFormat/>
    <w:uiPriority w:val="0"/>
    <w:rPr>
      <w:rFonts w:ascii="PMingLiU" w:hAnsi="PMingLiU" w:eastAsia="PMingLiU" w:cs="PMingLiU"/>
      <w:color w:val="000000"/>
      <w:spacing w:val="0"/>
      <w:w w:val="100"/>
      <w:kern w:val="0"/>
      <w:position w:val="0"/>
      <w:sz w:val="21"/>
      <w:szCs w:val="21"/>
      <w:u w:val="none"/>
      <w:lang w:val="en-US" w:eastAsia="en-US" w:bidi="en-US"/>
    </w:rPr>
  </w:style>
  <w:style w:type="paragraph" w:customStyle="1" w:styleId="156">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157">
    <w:name w:val="正文文本 (2)_"/>
    <w:link w:val="158"/>
    <w:qFormat/>
    <w:locked/>
    <w:uiPriority w:val="99"/>
    <w:rPr>
      <w:rFonts w:ascii="MingLiU" w:eastAsia="MingLiU" w:cs="MingLiU"/>
      <w:spacing w:val="10"/>
      <w:kern w:val="0"/>
      <w:sz w:val="20"/>
      <w:szCs w:val="20"/>
    </w:rPr>
  </w:style>
  <w:style w:type="paragraph" w:customStyle="1" w:styleId="158">
    <w:name w:val="正文文本 (2)1"/>
    <w:basedOn w:val="1"/>
    <w:link w:val="157"/>
    <w:qFormat/>
    <w:uiPriority w:val="99"/>
    <w:pPr>
      <w:shd w:val="clear" w:color="auto" w:fill="FFFFFF"/>
      <w:spacing w:line="313" w:lineRule="exact"/>
      <w:ind w:hanging="420"/>
      <w:jc w:val="distribute"/>
    </w:pPr>
    <w:rPr>
      <w:rFonts w:ascii="MingLiU" w:eastAsia="MingLiU" w:cs="MingLiU"/>
      <w:spacing w:val="10"/>
      <w:kern w:val="0"/>
      <w:sz w:val="20"/>
      <w:szCs w:val="20"/>
    </w:rPr>
  </w:style>
  <w:style w:type="paragraph" w:customStyle="1" w:styleId="159">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160">
    <w:name w:val="修订4"/>
    <w:hidden/>
    <w:semiHidden/>
    <w:qFormat/>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microsoft.com/office/2006/relationships/keyMapCustomizations" Target="customizations.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emf"/><Relationship Id="rId12" Type="http://schemas.openxmlformats.org/officeDocument/2006/relationships/oleObject" Target="embeddings/oleObject3.bin"/><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11"/>
        <w:style w:val=""/>
        <w:category>
          <w:name w:val="常规"/>
          <w:gallery w:val="placeholder"/>
        </w:category>
        <w:types>
          <w:type w:val="bbPlcHdr"/>
        </w:types>
        <w:behaviors>
          <w:behavior w:val="content"/>
        </w:behaviors>
        <w:description w:val=""/>
        <w:guid w:val="{028989F2-0355-49D4-BDA6-4D56B5D374C0}"/>
      </w:docPartPr>
      <w:docPartBody>
        <w:p w14:paraId="348E9F92">
          <w:pPr>
            <w:pStyle w:val="5"/>
          </w:pPr>
          <w:r>
            <w:rPr>
              <w:rStyle w:val="4"/>
              <w:rFonts w:hint="eastAsia"/>
            </w:rPr>
            <w:t>标准名称</w:t>
          </w:r>
        </w:p>
      </w:docPartBody>
    </w:docPart>
    <w:docPart>
      <w:docPartPr>
        <w:name w:val="{0b88b656-0384-4ed9-a499-7c9a6dcd25e4}"/>
        <w:style w:val=""/>
        <w:category>
          <w:name w:val="常规"/>
          <w:gallery w:val="placeholder"/>
        </w:category>
        <w:types>
          <w:type w:val="bbPlcHdr"/>
        </w:types>
        <w:behaviors>
          <w:behavior w:val="content"/>
        </w:behaviors>
        <w:description w:val=""/>
        <w:guid w:val="{0b88b656-0384-4ed9-a499-7c9a6dcd25e4}"/>
      </w:docPartPr>
      <w:docPartBody>
        <w:p w14:paraId="18FB5629">
          <w:r>
            <w:rPr>
              <w:rFonts w:hint="eastAsia"/>
            </w:rPr>
            <w:t>标准名称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13A"/>
    <w:rsid w:val="000174F1"/>
    <w:rsid w:val="0002647A"/>
    <w:rsid w:val="0002653F"/>
    <w:rsid w:val="00080DE3"/>
    <w:rsid w:val="00087E40"/>
    <w:rsid w:val="000C73CF"/>
    <w:rsid w:val="001079A7"/>
    <w:rsid w:val="001132F9"/>
    <w:rsid w:val="00114ABC"/>
    <w:rsid w:val="001409A8"/>
    <w:rsid w:val="001454E1"/>
    <w:rsid w:val="00172434"/>
    <w:rsid w:val="00174D17"/>
    <w:rsid w:val="00183D27"/>
    <w:rsid w:val="001C16E0"/>
    <w:rsid w:val="001E603E"/>
    <w:rsid w:val="002068C7"/>
    <w:rsid w:val="002250D2"/>
    <w:rsid w:val="002301FD"/>
    <w:rsid w:val="0023622F"/>
    <w:rsid w:val="00250183"/>
    <w:rsid w:val="00290AD5"/>
    <w:rsid w:val="002B4482"/>
    <w:rsid w:val="002D2C8D"/>
    <w:rsid w:val="002E723B"/>
    <w:rsid w:val="00323E80"/>
    <w:rsid w:val="0033048E"/>
    <w:rsid w:val="003372E5"/>
    <w:rsid w:val="00347468"/>
    <w:rsid w:val="003750AF"/>
    <w:rsid w:val="003A1E2F"/>
    <w:rsid w:val="003C7BD2"/>
    <w:rsid w:val="00425799"/>
    <w:rsid w:val="00430F92"/>
    <w:rsid w:val="00477AF4"/>
    <w:rsid w:val="004C5282"/>
    <w:rsid w:val="004F113A"/>
    <w:rsid w:val="004F1EC5"/>
    <w:rsid w:val="005018F0"/>
    <w:rsid w:val="00515A81"/>
    <w:rsid w:val="005335DD"/>
    <w:rsid w:val="00595E09"/>
    <w:rsid w:val="005B5A89"/>
    <w:rsid w:val="00601A8D"/>
    <w:rsid w:val="00606EC3"/>
    <w:rsid w:val="00622B81"/>
    <w:rsid w:val="006318BC"/>
    <w:rsid w:val="00674FBA"/>
    <w:rsid w:val="00684040"/>
    <w:rsid w:val="00692644"/>
    <w:rsid w:val="006D02E4"/>
    <w:rsid w:val="007216E9"/>
    <w:rsid w:val="00735FC6"/>
    <w:rsid w:val="007810F0"/>
    <w:rsid w:val="00786A81"/>
    <w:rsid w:val="007C6ACB"/>
    <w:rsid w:val="007E2797"/>
    <w:rsid w:val="00800293"/>
    <w:rsid w:val="00811CD1"/>
    <w:rsid w:val="00820E7E"/>
    <w:rsid w:val="00826DFE"/>
    <w:rsid w:val="0084456C"/>
    <w:rsid w:val="00857CF2"/>
    <w:rsid w:val="008A4C96"/>
    <w:rsid w:val="008C1128"/>
    <w:rsid w:val="008E024D"/>
    <w:rsid w:val="008E419F"/>
    <w:rsid w:val="008F0268"/>
    <w:rsid w:val="00902EF8"/>
    <w:rsid w:val="00957FC1"/>
    <w:rsid w:val="0096009F"/>
    <w:rsid w:val="00982DAC"/>
    <w:rsid w:val="00985B87"/>
    <w:rsid w:val="00985D97"/>
    <w:rsid w:val="00987F49"/>
    <w:rsid w:val="00991B6A"/>
    <w:rsid w:val="009B16B1"/>
    <w:rsid w:val="009C45C8"/>
    <w:rsid w:val="009E6CA3"/>
    <w:rsid w:val="00A521C5"/>
    <w:rsid w:val="00A666AC"/>
    <w:rsid w:val="00A7198F"/>
    <w:rsid w:val="00A73642"/>
    <w:rsid w:val="00A94E45"/>
    <w:rsid w:val="00AA6D99"/>
    <w:rsid w:val="00AD4153"/>
    <w:rsid w:val="00AD6808"/>
    <w:rsid w:val="00AE43D9"/>
    <w:rsid w:val="00B412BC"/>
    <w:rsid w:val="00B601E5"/>
    <w:rsid w:val="00B717AC"/>
    <w:rsid w:val="00BC67AA"/>
    <w:rsid w:val="00BD6C1F"/>
    <w:rsid w:val="00BD7FF4"/>
    <w:rsid w:val="00BE0309"/>
    <w:rsid w:val="00BE72EE"/>
    <w:rsid w:val="00BF7B69"/>
    <w:rsid w:val="00C06FDA"/>
    <w:rsid w:val="00C15F0B"/>
    <w:rsid w:val="00C22950"/>
    <w:rsid w:val="00C74553"/>
    <w:rsid w:val="00C875D2"/>
    <w:rsid w:val="00CB0B2B"/>
    <w:rsid w:val="00D03AC8"/>
    <w:rsid w:val="00D222C5"/>
    <w:rsid w:val="00D4454B"/>
    <w:rsid w:val="00D65DD7"/>
    <w:rsid w:val="00D665B5"/>
    <w:rsid w:val="00D94983"/>
    <w:rsid w:val="00DA4409"/>
    <w:rsid w:val="00DB1E36"/>
    <w:rsid w:val="00DB7F94"/>
    <w:rsid w:val="00DC6DC9"/>
    <w:rsid w:val="00DF10FC"/>
    <w:rsid w:val="00E14642"/>
    <w:rsid w:val="00E426AB"/>
    <w:rsid w:val="00E755F5"/>
    <w:rsid w:val="00E95A08"/>
    <w:rsid w:val="00EA15BD"/>
    <w:rsid w:val="00EA32AC"/>
    <w:rsid w:val="00F07123"/>
    <w:rsid w:val="00F77957"/>
    <w:rsid w:val="00F879E0"/>
    <w:rsid w:val="00F93653"/>
    <w:rsid w:val="00FD0835"/>
    <w:rsid w:val="00FF0B73"/>
    <w:rsid w:val="00FF0EC1"/>
    <w:rsid w:val="00FF3A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cs="Times New Roman" w:asciiTheme="minorHAnsi" w:hAnsiTheme="minorHAnsi" w:eastAsiaTheme="minorEastAsia"/>
      <w:kern w:val="2"/>
      <w:sz w:val="3276"/>
      <w:szCs w:val="3276"/>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1112"/>
    <w:qFormat/>
    <w:uiPriority w:val="0"/>
    <w:pPr>
      <w:keepNext/>
      <w:pageBreakBefore/>
      <w:shd w:val="clear" w:color="FFFFFF" w:fill="FFFFFF"/>
      <w:spacing w:before="640" w:after="560" w:line="460" w:lineRule="exact"/>
      <w:jc w:val="center"/>
      <w:outlineLvl w:val="0"/>
    </w:pPr>
    <w:rPr>
      <w:rFonts w:ascii="黑体" w:hAnsi="Times New Roman" w:eastAsia="黑体" w:cs="Times New Roman"/>
      <w:sz w:val="32"/>
      <w:lang w:val="en-US" w:eastAsia="zh-CN" w:bidi="ar-SA"/>
    </w:rPr>
  </w:style>
  <w:style w:type="paragraph" w:customStyle="1" w:styleId="6">
    <w:name w:val="D459B91597B54DF6A70EB652A15DA49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517458E664CB45BCA608302853567C5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1775FB1B206741C19EA868C2F368190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1B022D-CC5C-42BB-AEED-AD6744027C79}">
  <ds:schemaRefs/>
</ds:datastoreItem>
</file>

<file path=docProps/app.xml><?xml version="1.0" encoding="utf-8"?>
<Properties xmlns="http://schemas.openxmlformats.org/officeDocument/2006/extended-properties" xmlns:vt="http://schemas.openxmlformats.org/officeDocument/2006/docPropsVTypes">
  <Template>Normal</Template>
  <Company>zle</Company>
  <Pages>12</Pages>
  <Words>2960</Words>
  <Characters>4277</Characters>
  <Lines>47</Lines>
  <Paragraphs>13</Paragraphs>
  <TotalTime>2</TotalTime>
  <ScaleCrop>false</ScaleCrop>
  <LinksUpToDate>false</LinksUpToDate>
  <CharactersWithSpaces>4454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2022-03-04T02:57:00Z</dcterms:created>
  <dc:creator>CNIS</dc:creator>
  <cp:lastModifiedBy>SZLSBA</cp:lastModifiedBy>
  <cp:lastPrinted>2022-05-21T07:04:00Z</cp:lastPrinted>
  <dcterms:modified xsi:type="dcterms:W3CDTF">2026-08-14T06:29:58Z</dcterms:modified>
  <dc:title>标准名称</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65C16B56A97B4A359901ACBFE5EB22A5_13</vt:lpwstr>
  </property>
  <property fmtid="{D5CDD505-2E9C-101B-9397-08002B2CF9AE}" pid="4" name="KSOTemplateDocerSaveRecord">
    <vt:lpwstr>eyJoZGlkIjoiZDZmOTY5NTRhYzFhNGI1Y2RiZTJhYjI1Y2JiM2JmOGQiLCJ1c2VySWQiOiI2NjkxMzA5MzAifQ==</vt:lpwstr>
  </property>
</Properties>
</file>