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1681B">
      <w:pPr>
        <w:framePr w:hSpace="180" w:vSpace="180" w:wrap="around" w:vAnchor="margin" w:hAnchor="margin" w:y="1" w:anchorLock="1"/>
        <w:jc w:val="left"/>
        <w:textAlignment w:val="center"/>
        <w:rPr>
          <w:rFonts w:hint="default" w:ascii="黑体" w:eastAsia="黑体"/>
          <w:kern w:val="0"/>
          <w:szCs w:val="21"/>
          <w:lang w:val="en-US" w:eastAsia="zh-CN"/>
        </w:rPr>
      </w:pPr>
      <w:r>
        <w:rPr>
          <w:rFonts w:eastAsia="黑体"/>
          <w:kern w:val="0"/>
          <w:szCs w:val="21"/>
        </w:rPr>
        <w:t>ICS</w:t>
      </w:r>
      <w:r>
        <w:rPr>
          <w:rFonts w:hint="eastAsia" w:eastAsia="黑体"/>
          <w:kern w:val="0"/>
          <w:szCs w:val="21"/>
          <w:lang w:val="en-US" w:eastAsia="zh-CN"/>
        </w:rPr>
        <w:t xml:space="preserve"> 11.100</w:t>
      </w:r>
    </w:p>
    <w:p w14:paraId="70FAE98E">
      <w:pPr>
        <w:framePr w:hSpace="180" w:vSpace="180" w:wrap="around" w:vAnchor="margin" w:hAnchor="margin" w:y="1" w:anchorLock="1"/>
        <w:jc w:val="left"/>
        <w:textAlignment w:val="center"/>
        <w:rPr>
          <w:rFonts w:hint="default" w:ascii="黑体" w:eastAsia="黑体"/>
          <w:kern w:val="0"/>
          <w:szCs w:val="21"/>
          <w:lang w:val="en-US" w:eastAsia="zh-CN"/>
        </w:rPr>
      </w:pPr>
      <w:r>
        <w:rPr>
          <w:rFonts w:hint="eastAsia" w:ascii="黑体" w:eastAsia="黑体"/>
          <w:kern w:val="0"/>
          <w:szCs w:val="21"/>
          <w:lang w:val="en-US" w:eastAsia="zh-CN"/>
        </w:rPr>
        <w:t>C 10</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1"/>
      </w:tblGrid>
      <w:tr w14:paraId="7BA5F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tcBorders>
              <w:top w:val="nil"/>
              <w:left w:val="nil"/>
              <w:bottom w:val="nil"/>
              <w:right w:val="nil"/>
            </w:tcBorders>
            <w:shd w:val="clear" w:color="auto" w:fill="auto"/>
          </w:tcPr>
          <w:p w14:paraId="2E2F9436">
            <w:pPr>
              <w:framePr w:hSpace="180" w:vSpace="180" w:wrap="around" w:vAnchor="margin" w:hAnchor="margin" w:y="1" w:anchorLock="1"/>
              <w:jc w:val="left"/>
              <w:textAlignment w:val="center"/>
              <w:rPr>
                <w:rFonts w:ascii="黑体" w:eastAsia="黑体"/>
                <w:kern w:val="0"/>
                <w:szCs w:val="21"/>
              </w:rPr>
            </w:pPr>
            <w:r>
              <w:rPr>
                <w:rFonts w:ascii="黑体" w:eastAsia="黑体"/>
                <w:kern w:val="0"/>
                <w:szCs w:val="21"/>
              </w:rPr>
              <mc:AlternateContent>
                <mc:Choice Requires="wps">
                  <w:drawing>
                    <wp:anchor distT="0" distB="0" distL="114300" distR="114300" simplePos="0" relativeHeight="251659264" behindDoc="1" locked="0" layoutInCell="1" allowOverlap="1">
                      <wp:simplePos x="0" y="0"/>
                      <wp:positionH relativeFrom="column">
                        <wp:posOffset>-66675</wp:posOffset>
                      </wp:positionH>
                      <wp:positionV relativeFrom="paragraph">
                        <wp:posOffset>0</wp:posOffset>
                      </wp:positionV>
                      <wp:extent cx="866775" cy="198120"/>
                      <wp:effectExtent l="0" t="0" r="0" b="0"/>
                      <wp:wrapNone/>
                      <wp:docPr id="6"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7216;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iuL+zVAAAABwEAAA8AAAAAAAAAAQAg&#10;AAAAIgAAAGRycy9kb3ducmV2LnhtbFBLAQIUABQAAAAIAIdO4kAXp8OdEQIAAC4EAAAOAAAAAAAA&#10;AAEAIAAAACQBAABkcnMvZTJvRG9jLnhtbFBLBQYAAAAABgAGAFkBAACnBQAAAAA=&#10;">
                      <v:fill on="t" focussize="0,0"/>
                      <v:stroke on="f"/>
                      <v:imagedata o:title=""/>
                      <o:lock v:ext="edit" aspectratio="f"/>
                    </v:rect>
                  </w:pict>
                </mc:Fallback>
              </mc:AlternateContent>
            </w:r>
          </w:p>
        </w:tc>
      </w:tr>
    </w:tbl>
    <w:p w14:paraId="392B0633">
      <w:pPr>
        <w:pStyle w:val="80"/>
        <w:framePr w:x="1397" w:y="6277"/>
        <w:rPr>
          <w:sz w:val="44"/>
          <w:szCs w:val="44"/>
        </w:rPr>
      </w:pPr>
      <w:r>
        <w:rPr>
          <w:rFonts w:hint="eastAsia"/>
          <w:sz w:val="44"/>
          <w:szCs w:val="44"/>
        </w:rPr>
        <w:t>无须配体的活细胞筛选技术标准</w:t>
      </w:r>
    </w:p>
    <w:p w14:paraId="7650EA93">
      <w:pPr>
        <w:pStyle w:val="82"/>
        <w:framePr w:x="1397" w:y="6277"/>
        <w:rPr>
          <w:rFonts w:ascii="黑体" w:hAnsi="黑体" w:eastAsia="黑体"/>
        </w:rPr>
      </w:pPr>
      <w:r>
        <w:rPr>
          <w:rFonts w:hint="eastAsia" w:ascii="黑体" w:hAnsi="黑体" w:eastAsia="黑体"/>
        </w:rPr>
        <w:t>Living cell screening technology without ligands</w:t>
      </w:r>
    </w:p>
    <w:tbl>
      <w:tblPr>
        <w:tblStyle w:val="3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29"/>
      </w:tblGrid>
      <w:tr w14:paraId="03484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shd w:val="clear" w:color="auto" w:fill="auto"/>
          </w:tcPr>
          <w:p w14:paraId="0F58B767">
            <w:pPr>
              <w:pStyle w:val="83"/>
              <w:framePr w:x="1397" w:y="6277"/>
            </w:pPr>
            <w:r>
              <w:rPr>
                <w:rFonts w:hint="eastAsia"/>
              </w:rPr>
              <w:t>（</w:t>
            </w:r>
            <w:r>
              <w:rPr>
                <w:rFonts w:hint="eastAsia"/>
                <w:lang w:val="en-US" w:eastAsia="zh-CN"/>
              </w:rPr>
              <w:t>征求意见稿</w:t>
            </w:r>
            <w:r>
              <w:rPr>
                <w:rFonts w:hint="eastAsia"/>
              </w:rPr>
              <w:t>）</w:t>
            </w:r>
          </w:p>
        </w:tc>
      </w:tr>
      <w:tr w14:paraId="19EF3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shd w:val="clear" w:color="auto" w:fill="auto"/>
          </w:tcPr>
          <w:p w14:paraId="74AE8FBD">
            <w:pPr>
              <w:pStyle w:val="84"/>
              <w:framePr w:x="1397" w:y="6277"/>
              <w:rPr>
                <w:rFonts w:hint="default" w:eastAsia="宋体"/>
                <w:lang w:val="en-US" w:eastAsia="zh-CN"/>
              </w:rPr>
            </w:pPr>
            <w:r>
              <w:rPr>
                <w:rFonts w:hint="eastAsia"/>
              </w:rPr>
              <w:t>202</w:t>
            </w:r>
            <w:r>
              <w:rPr>
                <w:rFonts w:hint="eastAsia"/>
                <w:lang w:val="en-US" w:eastAsia="zh-CN"/>
              </w:rPr>
              <w:t>3</w:t>
            </w:r>
            <w:r>
              <w:rPr>
                <w:rFonts w:hint="eastAsia"/>
              </w:rPr>
              <w:t>.0</w:t>
            </w:r>
            <w:r>
              <w:rPr>
                <w:rFonts w:hint="eastAsia"/>
                <w:lang w:val="en-US" w:eastAsia="zh-CN"/>
              </w:rPr>
              <w:t>5</w:t>
            </w:r>
            <w:r>
              <w:t>.</w:t>
            </w:r>
            <w:r>
              <w:rPr>
                <w:rFonts w:hint="eastAsia"/>
                <w:lang w:val="en-US" w:eastAsia="zh-CN"/>
              </w:rPr>
              <w:t>10</w:t>
            </w:r>
          </w:p>
        </w:tc>
      </w:tr>
    </w:tbl>
    <w:p w14:paraId="3899FC4D">
      <w:pPr>
        <w:pStyle w:val="132"/>
        <w:framePr w:x="1336" w:y="14086"/>
      </w:pPr>
      <w:r>
        <w:rPr>
          <w:rFonts w:ascii="黑体"/>
        </w:rPr>
        <w:t>20</w:t>
      </w:r>
      <w:r>
        <w:rPr>
          <w:rFonts w:hint="eastAsia" w:ascii="黑体"/>
        </w:rPr>
        <w:t>XX</w:t>
      </w:r>
      <w:r>
        <w:rPr>
          <w:rFonts w:ascii="黑体"/>
        </w:rPr>
        <w:t>-</w:t>
      </w:r>
      <w:r>
        <w:rPr>
          <w:rFonts w:hint="eastAsia" w:ascii="黑体"/>
        </w:rPr>
        <w:t>XX</w:t>
      </w:r>
      <w:r>
        <w:rPr>
          <w:rFonts w:ascii="黑体"/>
        </w:rPr>
        <w:t>-</w:t>
      </w:r>
      <w:r>
        <w:rPr>
          <w:rFonts w:hint="eastAsia" w:ascii="黑体"/>
        </w:rPr>
        <w:t>XX</w:t>
      </w:r>
      <w:r>
        <w:rPr>
          <w:rFonts w:hint="eastAsia"/>
        </w:rPr>
        <w:t>发布</w:t>
      </w:r>
      <w:r>
        <mc:AlternateContent>
          <mc:Choice Requires="wps">
            <w:drawing>
              <wp:anchor distT="0" distB="0" distL="114300" distR="114300" simplePos="0" relativeHeight="251662336" behindDoc="0" locked="1" layoutInCell="1" allowOverlap="1">
                <wp:simplePos x="0" y="0"/>
                <wp:positionH relativeFrom="column">
                  <wp:posOffset>-100965</wp:posOffset>
                </wp:positionH>
                <wp:positionV relativeFrom="page">
                  <wp:posOffset>9251950</wp:posOffset>
                </wp:positionV>
                <wp:extent cx="6220460" cy="0"/>
                <wp:effectExtent l="0" t="0" r="0" b="0"/>
                <wp:wrapNone/>
                <wp:docPr id="2"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Line 10" o:spid="_x0000_s1026" o:spt="20" style="position:absolute;left:0pt;margin-left:-7.95pt;margin-top:728.5pt;height:0pt;width:489.8pt;mso-position-vertical-relative:page;z-index:251662336;mso-width-relative:page;mso-height-relative:page;" filled="f" stroked="t" coordsize="21600,21600" o:gfxdata="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cteZ/2QAAAA0BAAAPAAAAAAAAAAEAIAAAACIA&#10;AABkcnMvZG93bnJldi54bWxQSwECFAAUAAAACACHTuJAOWqTg88BAACuAwAADgAAAAAAAAABACAA&#10;AAAoAQAAZHJzL2Uyb0RvYy54bWxQSwUGAAAAAAYABgBZAQAAaQUAAAAA&#10;">
                <v:fill on="f" focussize="0,0"/>
                <v:stroke color="#000000" joinstyle="round"/>
                <v:imagedata o:title=""/>
                <o:lock v:ext="edit" aspectratio="f"/>
                <w10:anchorlock/>
              </v:line>
            </w:pict>
          </mc:Fallback>
        </mc:AlternateContent>
      </w:r>
    </w:p>
    <w:p w14:paraId="5E198F90">
      <w:pPr>
        <w:pStyle w:val="133"/>
        <w:framePr w:x="6991"/>
      </w:pPr>
      <w:r>
        <w:rPr>
          <w:rFonts w:ascii="黑体"/>
        </w:rPr>
        <w:t>20</w:t>
      </w:r>
      <w:r>
        <w:rPr>
          <w:rFonts w:hint="eastAsia" w:ascii="黑体"/>
        </w:rPr>
        <w:t>XX</w:t>
      </w:r>
      <w:r>
        <w:rPr>
          <w:rFonts w:ascii="黑体"/>
        </w:rPr>
        <w:t>-</w:t>
      </w:r>
      <w:r>
        <w:rPr>
          <w:rFonts w:hint="eastAsia" w:ascii="黑体"/>
        </w:rPr>
        <w:t>XX</w:t>
      </w:r>
      <w:r>
        <w:rPr>
          <w:rFonts w:ascii="黑体"/>
        </w:rPr>
        <w:t>-</w:t>
      </w:r>
      <w:r>
        <w:rPr>
          <w:rFonts w:hint="eastAsia" w:ascii="黑体"/>
        </w:rPr>
        <w:t>XX</w:t>
      </w:r>
      <w:r>
        <w:rPr>
          <w:rFonts w:hint="eastAsia"/>
        </w:rPr>
        <w:t>实施</w:t>
      </w:r>
    </w:p>
    <w:p w14:paraId="27B1069F">
      <w:pPr>
        <w:pStyle w:val="113"/>
        <w:framePr w:x="2298" w:y="15128"/>
      </w:pPr>
      <w:r>
        <w:rPr>
          <w:rFonts w:hint="eastAsia" w:ascii="Times New Roman"/>
          <w:lang w:eastAsia="zh-CN"/>
        </w:rPr>
        <w:t>深圳市生命科学与生物技术协会</w:t>
      </w:r>
      <w:r>
        <w:rPr>
          <w:rFonts w:hint="eastAsia" w:hAnsi="黑体"/>
        </w:rPr>
        <w:t xml:space="preserve">   </w:t>
      </w:r>
      <w:r>
        <w:rPr>
          <w:rStyle w:val="75"/>
          <w:rFonts w:hint="eastAsia"/>
        </w:rPr>
        <w:t>发布</w:t>
      </w:r>
    </w:p>
    <w:p w14:paraId="37ABE892">
      <w:pPr>
        <w:pStyle w:val="111"/>
        <w:ind w:left="780" w:hanging="360"/>
      </w:pPr>
    </w:p>
    <w:p w14:paraId="6DA235AA">
      <w:pPr>
        <w:pStyle w:val="112"/>
        <w:framePr w:w="6492" w:x="2737" w:y="2357"/>
        <w:rPr>
          <w:rFonts w:ascii="Times New Roman" w:hAnsi="Times New Roman"/>
          <w:sz w:val="84"/>
          <w:szCs w:val="84"/>
        </w:rPr>
      </w:pPr>
      <w:r>
        <w:rPr>
          <w:rFonts w:hAnsi="黑体" w:cs="黑体"/>
          <w:color w:val="000000"/>
          <w:sz w:val="84"/>
          <w:szCs w:val="84"/>
        </w:rPr>
        <mc:AlternateContent>
          <mc:Choice Requires="wps">
            <w:drawing>
              <wp:anchor distT="0" distB="0" distL="114300" distR="114300" simplePos="0" relativeHeight="251660288" behindDoc="1" locked="0" layoutInCell="1" allowOverlap="1">
                <wp:simplePos x="0" y="0"/>
                <wp:positionH relativeFrom="column">
                  <wp:posOffset>2593340</wp:posOffset>
                </wp:positionH>
                <wp:positionV relativeFrom="paragraph">
                  <wp:posOffset>784225</wp:posOffset>
                </wp:positionV>
                <wp:extent cx="2580005" cy="414020"/>
                <wp:effectExtent l="0" t="0" r="0" b="0"/>
                <wp:wrapNone/>
                <wp:docPr id="10" name="矩形 10"/>
                <wp:cNvGraphicFramePr/>
                <a:graphic xmlns:a="http://schemas.openxmlformats.org/drawingml/2006/main">
                  <a:graphicData uri="http://schemas.microsoft.com/office/word/2010/wordprocessingShape">
                    <wps:wsp>
                      <wps:cNvSpPr/>
                      <wps:spPr>
                        <a:xfrm>
                          <a:off x="0" y="0"/>
                          <a:ext cx="2580005" cy="414020"/>
                        </a:xfrm>
                        <a:prstGeom prst="rect">
                          <a:avLst/>
                        </a:prstGeom>
                        <a:solidFill>
                          <a:srgbClr val="FFFFFF"/>
                        </a:solidFill>
                        <a:ln>
                          <a:noFill/>
                        </a:ln>
                        <a:effectLst/>
                      </wps:spPr>
                      <wps:txbx>
                        <w:txbxContent>
                          <w:p w14:paraId="53A35EA5">
                            <w:pPr>
                              <w:pStyle w:val="49"/>
                              <w:wordWrap w:val="0"/>
                              <w:spacing w:before="156" w:after="156"/>
                              <w:rPr>
                                <w:rFonts w:hint="default" w:hAnsi="黑体" w:eastAsia="黑体"/>
                                <w:lang w:val="en-US" w:eastAsia="zh-CN"/>
                              </w:rPr>
                            </w:pPr>
                            <w:r>
                              <w:rPr>
                                <w:rFonts w:hAnsi="黑体"/>
                              </w:rPr>
                              <w:t>T/</w:t>
                            </w:r>
                            <w:r>
                              <w:rPr>
                                <w:rFonts w:hint="eastAsia" w:hAnsi="黑体"/>
                                <w:lang w:val="en-US" w:eastAsia="zh-CN"/>
                              </w:rPr>
                              <w:t>SZLSBA</w:t>
                            </w:r>
                            <w:r>
                              <w:rPr>
                                <w:rFonts w:hAnsi="黑体"/>
                              </w:rPr>
                              <w:t xml:space="preserve"> </w:t>
                            </w:r>
                            <w:r>
                              <w:rPr>
                                <w:rFonts w:hint="eastAsia" w:hAnsi="黑体"/>
                                <w:lang w:val="en-US" w:eastAsia="zh-CN"/>
                              </w:rPr>
                              <w:t>XX</w:t>
                            </w:r>
                            <w:r>
                              <w:rPr>
                                <w:rFonts w:hint="eastAsia" w:hAnsi="黑体"/>
                              </w:rPr>
                              <w:t>-20</w:t>
                            </w:r>
                            <w:r>
                              <w:rPr>
                                <w:rFonts w:hint="eastAsia" w:hAnsi="黑体"/>
                                <w:lang w:val="en-US" w:eastAsia="zh-CN"/>
                              </w:rPr>
                              <w:t>23</w:t>
                            </w:r>
                          </w:p>
                          <w:p w14:paraId="6C5E59AA">
                            <w:pPr>
                              <w:pStyle w:val="49"/>
                              <w:wordWrap w:val="0"/>
                              <w:spacing w:before="156" w:after="156"/>
                              <w:rPr>
                                <w:rFonts w:hAnsi="黑体"/>
                              </w:rPr>
                            </w:pPr>
                          </w:p>
                          <w:p w14:paraId="39B37A4B">
                            <w:pPr>
                              <w:pStyle w:val="49"/>
                              <w:spacing w:before="156" w:after="156"/>
                              <w:rPr>
                                <w:rFonts w:ascii="Times New Roman"/>
                              </w:rPr>
                            </w:pPr>
                          </w:p>
                          <w:p w14:paraId="5C0115C6">
                            <w:pPr>
                              <w:pStyle w:val="49"/>
                              <w:spacing w:before="156" w:after="156"/>
                              <w:rPr>
                                <w:rFonts w:ascii="Times New Roman"/>
                              </w:rPr>
                            </w:pPr>
                          </w:p>
                          <w:p w14:paraId="4EA2170D"/>
                        </w:txbxContent>
                      </wps:txbx>
                      <wps:bodyPr upright="1"/>
                    </wps:wsp>
                  </a:graphicData>
                </a:graphic>
              </wp:anchor>
            </w:drawing>
          </mc:Choice>
          <mc:Fallback>
            <w:pict>
              <v:rect id="_x0000_s1026" o:spid="_x0000_s1026" o:spt="1" style="position:absolute;left:0pt;margin-left:204.2pt;margin-top:61.75pt;height:32.6pt;width:203.15pt;z-index:-251656192;mso-width-relative:page;mso-height-relative:page;" fillcolor="#FFFFFF" filled="t" stroked="f" coordsize="21600,21600" o:gfxdata="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X0782AAAAAsBAAAPAAAAAAAAAAEAIAAAACIAAABkcnMvZG93bnJldi54bWxQSwEC&#10;FAAUAAAACACHTuJAXnK297sBAAB6AwAADgAAAAAAAAABACAAAAAnAQAAZHJzL2Uyb0RvYy54bWxQ&#10;SwUGAAAAAAYABgBZAQAAVAUAAAAA&#10;">
                <v:fill on="t" focussize="0,0"/>
                <v:stroke on="f"/>
                <v:imagedata o:title=""/>
                <o:lock v:ext="edit" aspectratio="f"/>
                <v:textbox>
                  <w:txbxContent>
                    <w:p w14:paraId="53A35EA5">
                      <w:pPr>
                        <w:pStyle w:val="49"/>
                        <w:wordWrap w:val="0"/>
                        <w:spacing w:before="156" w:after="156"/>
                        <w:rPr>
                          <w:rFonts w:hint="default" w:hAnsi="黑体" w:eastAsia="黑体"/>
                          <w:lang w:val="en-US" w:eastAsia="zh-CN"/>
                        </w:rPr>
                      </w:pPr>
                      <w:r>
                        <w:rPr>
                          <w:rFonts w:hAnsi="黑体"/>
                        </w:rPr>
                        <w:t>T/</w:t>
                      </w:r>
                      <w:r>
                        <w:rPr>
                          <w:rFonts w:hint="eastAsia" w:hAnsi="黑体"/>
                          <w:lang w:val="en-US" w:eastAsia="zh-CN"/>
                        </w:rPr>
                        <w:t>SZLSBA</w:t>
                      </w:r>
                      <w:r>
                        <w:rPr>
                          <w:rFonts w:hAnsi="黑体"/>
                        </w:rPr>
                        <w:t xml:space="preserve"> </w:t>
                      </w:r>
                      <w:r>
                        <w:rPr>
                          <w:rFonts w:hint="eastAsia" w:hAnsi="黑体"/>
                          <w:lang w:val="en-US" w:eastAsia="zh-CN"/>
                        </w:rPr>
                        <w:t>XX</w:t>
                      </w:r>
                      <w:r>
                        <w:rPr>
                          <w:rFonts w:hint="eastAsia" w:hAnsi="黑体"/>
                        </w:rPr>
                        <w:t>-20</w:t>
                      </w:r>
                      <w:r>
                        <w:rPr>
                          <w:rFonts w:hint="eastAsia" w:hAnsi="黑体"/>
                          <w:lang w:val="en-US" w:eastAsia="zh-CN"/>
                        </w:rPr>
                        <w:t>23</w:t>
                      </w:r>
                    </w:p>
                    <w:p w14:paraId="6C5E59AA">
                      <w:pPr>
                        <w:pStyle w:val="49"/>
                        <w:wordWrap w:val="0"/>
                        <w:spacing w:before="156" w:after="156"/>
                        <w:rPr>
                          <w:rFonts w:hAnsi="黑体"/>
                        </w:rPr>
                      </w:pPr>
                    </w:p>
                    <w:p w14:paraId="39B37A4B">
                      <w:pPr>
                        <w:pStyle w:val="49"/>
                        <w:spacing w:before="156" w:after="156"/>
                        <w:rPr>
                          <w:rFonts w:ascii="Times New Roman"/>
                        </w:rPr>
                      </w:pPr>
                    </w:p>
                    <w:p w14:paraId="5C0115C6">
                      <w:pPr>
                        <w:pStyle w:val="49"/>
                        <w:spacing w:before="156" w:after="156"/>
                        <w:rPr>
                          <w:rFonts w:ascii="Times New Roman"/>
                        </w:rPr>
                      </w:pPr>
                    </w:p>
                    <w:p w14:paraId="4EA2170D"/>
                  </w:txbxContent>
                </v:textbox>
              </v:rect>
            </w:pict>
          </mc:Fallback>
        </mc:AlternateContent>
      </w:r>
      <w:r>
        <w:rPr>
          <w:rFonts w:ascii="Times New Roman" w:hAnsi="Times New Roman"/>
          <w:sz w:val="84"/>
          <w:szCs w:val="84"/>
        </w:rPr>
        <w:t>团体标准</w:t>
      </w:r>
    </w:p>
    <w:p w14:paraId="3AE7A629">
      <w:pPr>
        <w:pStyle w:val="24"/>
      </w:pPr>
    </w:p>
    <w:p w14:paraId="6A7C1523"/>
    <w:p w14:paraId="32DDFE7A"/>
    <w:p w14:paraId="7D3846B8"/>
    <w:p w14:paraId="5C5F80DE"/>
    <w:p w14:paraId="1E4CDC9D">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168275</wp:posOffset>
                </wp:positionV>
                <wp:extent cx="6273165" cy="0"/>
                <wp:effectExtent l="0" t="0" r="0" b="0"/>
                <wp:wrapNone/>
                <wp:docPr id="1" name="直线 15"/>
                <wp:cNvGraphicFramePr/>
                <a:graphic xmlns:a="http://schemas.openxmlformats.org/drawingml/2006/main">
                  <a:graphicData uri="http://schemas.microsoft.com/office/word/2010/wordprocessingShape">
                    <wps:wsp>
                      <wps:cNvCnPr/>
                      <wps:spPr>
                        <a:xfrm>
                          <a:off x="0" y="0"/>
                          <a:ext cx="627316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5" o:spid="_x0000_s1026" o:spt="20" style="position:absolute;left:0pt;margin-top:13.25pt;height:0pt;width:493.95pt;mso-position-horizontal:right;mso-position-horizontal-relative:margin;z-index:251661312;mso-width-relative:page;mso-height-relative:page;" filled="f" stroked="t" coordsize="21600,21600" o:gfxdata="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z4Bq9QAAAAGAQAA&#10;DwAAAAAAAAABACAAAAAiAAAAZHJzL2Rvd25yZXYueG1sUEsBAhQAFAAAAAgAh07iQCajrx7kAQAA&#10;3gMAAA4AAAAAAAAAAQAgAAAAIwEAAGRycy9lMm9Eb2MueG1sUEsFBgAAAAAGAAYAWQEAAHkFAAAA&#10;AA==&#10;">
                <v:fill on="f" focussize="0,0"/>
                <v:stroke color="#000000" joinstyle="round"/>
                <v:imagedata o:title=""/>
                <o:lock v:ext="edit" aspectratio="f"/>
              </v:line>
            </w:pict>
          </mc:Fallback>
        </mc:AlternateContent>
      </w:r>
    </w:p>
    <w:p w14:paraId="33978184">
      <w:pPr>
        <w:sectPr>
          <w:headerReference r:id="rId3" w:type="even"/>
          <w:footerReference r:id="rId4" w:type="even"/>
          <w:pgSz w:w="11906" w:h="16838"/>
          <w:pgMar w:top="567" w:right="850" w:bottom="1134" w:left="1418" w:header="0" w:footer="0" w:gutter="0"/>
          <w:pgNumType w:start="1"/>
          <w:cols w:space="425" w:num="1"/>
          <w:titlePg/>
          <w:docGrid w:type="lines" w:linePitch="312" w:charSpace="0"/>
        </w:sectPr>
      </w:pPr>
      <w:bookmarkStart w:id="73" w:name="_GoBack"/>
      <w:bookmarkEnd w:id="73"/>
    </w:p>
    <w:p w14:paraId="1BC08D38">
      <w:pPr>
        <w:pStyle w:val="52"/>
      </w:pPr>
      <w:bookmarkStart w:id="0" w:name="_Toc5755"/>
      <w:bookmarkStart w:id="1" w:name="_Toc30181"/>
      <w:bookmarkStart w:id="2" w:name="_Toc45117178"/>
      <w:bookmarkStart w:id="3" w:name="_Toc15029746"/>
      <w:bookmarkStart w:id="4" w:name="_Toc32023"/>
      <w:bookmarkStart w:id="5" w:name="_Toc15022398"/>
      <w:bookmarkStart w:id="6" w:name="_Toc34814874"/>
      <w:bookmarkStart w:id="7" w:name="_Toc29546"/>
      <w:bookmarkStart w:id="8" w:name="_Toc28857"/>
      <w:r>
        <w:rPr>
          <w:rFonts w:hint="eastAsia"/>
        </w:rPr>
        <w:t>目</w:t>
      </w:r>
      <w:bookmarkStart w:id="9" w:name="BKML"/>
      <w:r>
        <w:rPr>
          <w:rFonts w:hAnsi="黑体"/>
        </w:rPr>
        <w:t>  </w:t>
      </w:r>
      <w:r>
        <w:rPr>
          <w:rFonts w:hint="eastAsia"/>
        </w:rPr>
        <w:t>次</w:t>
      </w:r>
      <w:bookmarkEnd w:id="0"/>
      <w:bookmarkEnd w:id="1"/>
      <w:bookmarkEnd w:id="2"/>
      <w:bookmarkEnd w:id="3"/>
      <w:bookmarkEnd w:id="4"/>
      <w:bookmarkEnd w:id="5"/>
      <w:bookmarkEnd w:id="6"/>
      <w:bookmarkEnd w:id="7"/>
      <w:bookmarkEnd w:id="8"/>
      <w:bookmarkEnd w:id="9"/>
    </w:p>
    <w:p w14:paraId="74DE26DF">
      <w:pPr>
        <w:pStyle w:val="29"/>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"_Toc94014628" </w:instrText>
      </w:r>
      <w:r>
        <w:fldChar w:fldCharType="separate"/>
      </w:r>
      <w:r>
        <w:fldChar w:fldCharType="begin"/>
      </w:r>
      <w:r>
        <w:instrText xml:space="preserve"> HYPERLINK \l "_Toc20575" </w:instrText>
      </w:r>
      <w:r>
        <w:fldChar w:fldCharType="separate"/>
      </w:r>
      <w:r>
        <w:rPr>
          <w:rFonts w:hint="eastAsia" w:asciiTheme="minorEastAsia" w:hAnsiTheme="minorEastAsia" w:eastAsiaTheme="minorEastAsia"/>
        </w:rPr>
        <w:t>前言</w:t>
      </w:r>
      <w:r>
        <w:rPr>
          <w:rFonts w:asciiTheme="minorEastAsia" w:hAnsiTheme="minorEastAsia" w:eastAsiaTheme="minorEastAsia"/>
        </w:rPr>
        <w:tab/>
      </w:r>
      <w:r>
        <w:rPr>
          <w:rFonts w:asciiTheme="minorEastAsia" w:hAnsiTheme="minorEastAsia" w:eastAsiaTheme="minorEastAsia"/>
        </w:rPr>
        <w:fldChar w:fldCharType="end"/>
      </w:r>
      <w:r>
        <w:rPr>
          <w:rFonts w:hint="eastAsia"/>
        </w:rPr>
        <w:t>II</w:t>
      </w:r>
    </w:p>
    <w:p w14:paraId="41A86C36">
      <w:pPr>
        <w:tabs>
          <w:tab w:val="right" w:leader="dot" w:pos="9344"/>
        </w:tabs>
        <w:adjustRightInd w:val="0"/>
        <w:spacing w:line="400" w:lineRule="exact"/>
        <w:rPr>
          <w:rFonts w:asciiTheme="minorEastAsia" w:hAnsiTheme="minorEastAsia" w:eastAsiaTheme="minorEastAsia"/>
        </w:rPr>
      </w:pPr>
      <w:r>
        <w:rPr>
          <w:rFonts w:ascii="宋体" w:hAnsi="Calibri"/>
          <w:szCs w:val="21"/>
        </w:rPr>
        <w:fldChar w:fldCharType="end"/>
      </w:r>
      <w:r>
        <w:rPr>
          <w:rFonts w:hint="eastAsia" w:cs="宋体" w:asciiTheme="minorEastAsia" w:hAnsiTheme="minorEastAsia" w:eastAsiaTheme="minorEastAsia"/>
        </w:rPr>
        <w:fldChar w:fldCharType="begin"/>
      </w:r>
      <w:r>
        <w:rPr>
          <w:rFonts w:hint="eastAsia" w:cs="宋体" w:asciiTheme="minorEastAsia" w:hAnsiTheme="minorEastAsia" w:eastAsiaTheme="minorEastAsia"/>
        </w:rPr>
        <w:instrText xml:space="preserve"> TOC \o "1-2" \h \z \u </w:instrText>
      </w:r>
      <w:r>
        <w:rPr>
          <w:rFonts w:hint="eastAsia" w:cs="宋体" w:asciiTheme="minorEastAsia" w:hAnsiTheme="minorEastAsia" w:eastAsiaTheme="minorEastAsia"/>
        </w:rPr>
        <w:fldChar w:fldCharType="separate"/>
      </w:r>
      <w:r>
        <w:fldChar w:fldCharType="begin"/>
      </w:r>
      <w:r>
        <w:instrText xml:space="preserve"> HYPERLINK \l "_Toc8722" </w:instrText>
      </w:r>
      <w:r>
        <w:fldChar w:fldCharType="separate"/>
      </w:r>
      <w:r>
        <w:fldChar w:fldCharType="end"/>
      </w:r>
      <w:r>
        <w:fldChar w:fldCharType="begin"/>
      </w:r>
      <w:r>
        <w:instrText xml:space="preserve"> HYPERLINK \l "_Toc23618" </w:instrText>
      </w:r>
      <w:r>
        <w:fldChar w:fldCharType="separate"/>
      </w:r>
      <w:sdt>
        <w:sdtPr>
          <w:rPr>
            <w:rFonts w:hint="eastAsia" w:asciiTheme="minorEastAsia" w:hAnsiTheme="minorEastAsia" w:eastAsiaTheme="minorEastAsia" w:cstheme="minorBidi"/>
            <w:szCs w:val="32"/>
          </w:rPr>
          <w:alias w:val="标准名称"/>
          <w:tag w:val="标准名称"/>
          <w:id w:val="-1523231755"/>
          <w:lock w:val="sdtLocked"/>
          <w:placeholder>
            <w:docPart w:val="{0b88b656-0384-4ed9-a499-7c9a6dcd25e4}"/>
          </w:placeholder>
          <w:text w:multiLine="1"/>
        </w:sdtPr>
        <w:sdtEndPr>
          <w:rPr>
            <w:rFonts w:hint="eastAsia" w:asciiTheme="minorEastAsia" w:hAnsiTheme="minorEastAsia" w:eastAsiaTheme="minorEastAsia" w:cstheme="minorBidi"/>
            <w:szCs w:val="32"/>
          </w:rPr>
        </w:sdtEndPr>
        <w:sdtContent>
          <w:r>
            <w:rPr>
              <w:rFonts w:asciiTheme="minorEastAsia" w:hAnsiTheme="minorEastAsia" w:eastAsiaTheme="minorEastAsia" w:cstheme="minorBidi"/>
              <w:szCs w:val="32"/>
            </w:rPr>
            <w:t>1</w:t>
          </w:r>
          <w:r>
            <w:rPr>
              <w:rFonts w:hint="eastAsia" w:asciiTheme="minorEastAsia" w:hAnsiTheme="minorEastAsia" w:eastAsiaTheme="minorEastAsia" w:cstheme="minorBidi"/>
              <w:szCs w:val="32"/>
            </w:rPr>
            <w:t xml:space="preserve"> </w:t>
          </w:r>
          <w:r>
            <w:rPr>
              <w:rFonts w:asciiTheme="minorEastAsia" w:hAnsiTheme="minorEastAsia" w:eastAsiaTheme="minorEastAsia" w:cstheme="minorBidi"/>
              <w:szCs w:val="32"/>
            </w:rPr>
            <w:t xml:space="preserve"> </w:t>
          </w:r>
          <w:r>
            <w:rPr>
              <w:rFonts w:hint="eastAsia" w:asciiTheme="minorEastAsia" w:hAnsiTheme="minorEastAsia" w:eastAsiaTheme="minorEastAsia" w:cstheme="minorBidi"/>
              <w:szCs w:val="32"/>
            </w:rPr>
            <w:t>范围</w:t>
          </w:r>
        </w:sdtContent>
      </w:sdt>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_Toc23618 \h </w:instrText>
      </w:r>
      <w:r>
        <w:rPr>
          <w:rFonts w:asciiTheme="minorEastAsia" w:hAnsiTheme="minorEastAsia" w:eastAsiaTheme="minorEastAsia"/>
        </w:rPr>
        <w:fldChar w:fldCharType="separate"/>
      </w:r>
      <w:r>
        <w:rPr>
          <w:rFonts w:asciiTheme="minorEastAsia" w:hAnsiTheme="minorEastAsia" w:eastAsiaTheme="minorEastAsia"/>
        </w:rPr>
        <w:t>1</w:t>
      </w:r>
      <w:r>
        <w:rPr>
          <w:rFonts w:asciiTheme="minorEastAsia" w:hAnsiTheme="minorEastAsia" w:eastAsiaTheme="minorEastAsia"/>
        </w:rPr>
        <w:fldChar w:fldCharType="end"/>
      </w:r>
      <w:r>
        <w:rPr>
          <w:rFonts w:asciiTheme="minorEastAsia" w:hAnsiTheme="minorEastAsia" w:eastAsiaTheme="minorEastAsia"/>
        </w:rPr>
        <w:fldChar w:fldCharType="end"/>
      </w:r>
    </w:p>
    <w:p w14:paraId="05200A5A">
      <w:pPr>
        <w:pStyle w:val="29"/>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"_Toc20575" </w:instrText>
      </w:r>
      <w:r>
        <w:fldChar w:fldCharType="separate"/>
      </w:r>
      <w:r>
        <w:rPr>
          <w:rFonts w:hint="eastAsia" w:asciiTheme="minorEastAsia" w:hAnsiTheme="minorEastAsia" w:eastAsiaTheme="minorEastAsia"/>
        </w:rPr>
        <w:t xml:space="preserve">2 </w:t>
      </w:r>
      <w:r>
        <w:rPr>
          <w:rFonts w:asciiTheme="minorEastAsia" w:hAnsiTheme="minorEastAsia" w:eastAsiaTheme="minorEastAsia"/>
        </w:rPr>
        <w:t xml:space="preserve"> 规范性引用文件</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_Toc20575 \h </w:instrText>
      </w:r>
      <w:r>
        <w:rPr>
          <w:rFonts w:asciiTheme="minorEastAsia" w:hAnsiTheme="minorEastAsia" w:eastAsiaTheme="minorEastAsia"/>
        </w:rPr>
        <w:fldChar w:fldCharType="separate"/>
      </w:r>
      <w:r>
        <w:rPr>
          <w:rFonts w:asciiTheme="minorEastAsia" w:hAnsiTheme="minorEastAsia" w:eastAsiaTheme="minorEastAsia"/>
        </w:rPr>
        <w:t>1</w:t>
      </w:r>
      <w:r>
        <w:rPr>
          <w:rFonts w:asciiTheme="minorEastAsia" w:hAnsiTheme="minorEastAsia" w:eastAsiaTheme="minorEastAsia"/>
        </w:rPr>
        <w:fldChar w:fldCharType="end"/>
      </w:r>
      <w:r>
        <w:rPr>
          <w:rFonts w:asciiTheme="minorEastAsia" w:hAnsiTheme="minorEastAsia" w:eastAsiaTheme="minorEastAsia"/>
        </w:rPr>
        <w:fldChar w:fldCharType="end"/>
      </w:r>
    </w:p>
    <w:p w14:paraId="20D77B55">
      <w:pPr>
        <w:pStyle w:val="29"/>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"_Toc20227" </w:instrText>
      </w:r>
      <w:r>
        <w:fldChar w:fldCharType="separate"/>
      </w:r>
      <w:r>
        <w:rPr>
          <w:rFonts w:hint="eastAsia" w:asciiTheme="minorEastAsia" w:hAnsiTheme="minorEastAsia" w:eastAsiaTheme="minorEastAsia"/>
        </w:rPr>
        <w:t xml:space="preserve">3 </w:t>
      </w:r>
      <w:r>
        <w:rPr>
          <w:rFonts w:asciiTheme="minorEastAsia" w:hAnsiTheme="minorEastAsia" w:eastAsiaTheme="minorEastAsia"/>
        </w:rPr>
        <w:t xml:space="preserve"> </w:t>
      </w:r>
      <w:r>
        <w:rPr>
          <w:rFonts w:hint="eastAsia" w:asciiTheme="minorEastAsia" w:hAnsiTheme="minorEastAsia" w:eastAsiaTheme="minorEastAsia"/>
        </w:rPr>
        <w:t>术语</w:t>
      </w:r>
      <w:r>
        <w:rPr>
          <w:rFonts w:asciiTheme="minorEastAsia" w:hAnsiTheme="minorEastAsia" w:eastAsiaTheme="minorEastAsia"/>
        </w:rPr>
        <w:t>和定义</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缩略语</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_Toc20227 \h </w:instrText>
      </w:r>
      <w:r>
        <w:rPr>
          <w:rFonts w:asciiTheme="minorEastAsia" w:hAnsiTheme="minorEastAsia" w:eastAsiaTheme="minorEastAsia"/>
        </w:rPr>
        <w:fldChar w:fldCharType="separate"/>
      </w:r>
      <w:r>
        <w:rPr>
          <w:rFonts w:asciiTheme="minorEastAsia" w:hAnsiTheme="minorEastAsia" w:eastAsiaTheme="minorEastAsia"/>
        </w:rPr>
        <w:t>1</w:t>
      </w:r>
      <w:r>
        <w:rPr>
          <w:rFonts w:asciiTheme="minorEastAsia" w:hAnsiTheme="minorEastAsia" w:eastAsiaTheme="minorEastAsia"/>
        </w:rPr>
        <w:fldChar w:fldCharType="end"/>
      </w:r>
      <w:r>
        <w:rPr>
          <w:rFonts w:asciiTheme="minorEastAsia" w:hAnsiTheme="minorEastAsia" w:eastAsiaTheme="minorEastAsia"/>
        </w:rPr>
        <w:fldChar w:fldCharType="end"/>
      </w:r>
    </w:p>
    <w:p w14:paraId="30A0D01C">
      <w:pPr>
        <w:pStyle w:val="29"/>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"_Toc23619" </w:instrText>
      </w:r>
      <w:r>
        <w:fldChar w:fldCharType="separate"/>
      </w:r>
      <w:r>
        <w:rPr>
          <w:rFonts w:hint="eastAsia" w:asciiTheme="minorEastAsia" w:hAnsiTheme="minorEastAsia" w:eastAsiaTheme="minorEastAsia"/>
        </w:rPr>
        <w:t xml:space="preserve">4 </w:t>
      </w:r>
      <w:r>
        <w:rPr>
          <w:rFonts w:asciiTheme="minorEastAsia" w:hAnsiTheme="minorEastAsia" w:eastAsiaTheme="minorEastAsia"/>
        </w:rPr>
        <w:t xml:space="preserve"> </w:t>
      </w:r>
      <w:r>
        <w:rPr>
          <w:rFonts w:hint="eastAsia" w:asciiTheme="minorEastAsia" w:hAnsiTheme="minorEastAsia" w:eastAsiaTheme="minorEastAsia"/>
          <w:lang w:val="en-US" w:eastAsia="zh-CN"/>
        </w:rPr>
        <w:t>原理</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_Toc23619 \h </w:instrText>
      </w:r>
      <w:r>
        <w:rPr>
          <w:rFonts w:asciiTheme="minorEastAsia" w:hAnsiTheme="minorEastAsia" w:eastAsiaTheme="minorEastAsia"/>
        </w:rPr>
        <w:fldChar w:fldCharType="separate"/>
      </w:r>
      <w:r>
        <w:rPr>
          <w:rFonts w:asciiTheme="minorEastAsia" w:hAnsiTheme="minorEastAsia" w:eastAsiaTheme="minorEastAsia"/>
        </w:rPr>
        <w:t>2</w:t>
      </w:r>
      <w:r>
        <w:rPr>
          <w:rFonts w:asciiTheme="minorEastAsia" w:hAnsiTheme="minorEastAsia" w:eastAsiaTheme="minorEastAsia"/>
        </w:rPr>
        <w:fldChar w:fldCharType="end"/>
      </w:r>
      <w:r>
        <w:rPr>
          <w:rFonts w:asciiTheme="minorEastAsia" w:hAnsiTheme="minorEastAsia" w:eastAsiaTheme="minorEastAsia"/>
        </w:rPr>
        <w:fldChar w:fldCharType="end"/>
      </w:r>
    </w:p>
    <w:p w14:paraId="7C6977F0">
      <w:pPr>
        <w:pStyle w:val="29"/>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"_Toc22703" </w:instrText>
      </w:r>
      <w:r>
        <w:fldChar w:fldCharType="separate"/>
      </w:r>
      <w:r>
        <w:rPr>
          <w:rFonts w:hint="eastAsia" w:asciiTheme="minorEastAsia" w:hAnsiTheme="minorEastAsia" w:eastAsiaTheme="minorEastAsia"/>
        </w:rPr>
        <w:t xml:space="preserve">5 </w:t>
      </w:r>
      <w:r>
        <w:rPr>
          <w:rFonts w:asciiTheme="minorEastAsia" w:hAnsiTheme="minorEastAsia" w:eastAsiaTheme="minorEastAsia"/>
        </w:rPr>
        <w:t xml:space="preserve"> </w:t>
      </w:r>
      <w:r>
        <w:rPr>
          <w:rFonts w:hint="eastAsia" w:asciiTheme="minorEastAsia" w:hAnsiTheme="minorEastAsia" w:eastAsiaTheme="minorEastAsia"/>
          <w:lang w:val="en-US" w:eastAsia="zh-CN"/>
        </w:rPr>
        <w:t>试剂和材料</w:t>
      </w:r>
      <w:r>
        <w:rPr>
          <w:rFonts w:asciiTheme="minorEastAsia" w:hAnsiTheme="minorEastAsia" w:eastAsiaTheme="minorEastAsia"/>
        </w:rPr>
        <w:tab/>
      </w:r>
      <w:r>
        <w:rPr>
          <w:rFonts w:hint="eastAsia" w:asciiTheme="minorEastAsia" w:hAnsiTheme="minorEastAsia" w:eastAsiaTheme="minorEastAsia"/>
          <w:lang w:val="en-US" w:eastAsia="zh-CN"/>
        </w:rPr>
        <w:t>3</w:t>
      </w:r>
      <w:r>
        <w:rPr>
          <w:rFonts w:asciiTheme="minorEastAsia" w:hAnsiTheme="minorEastAsia" w:eastAsiaTheme="minorEastAsia"/>
        </w:rPr>
        <w:fldChar w:fldCharType="end"/>
      </w:r>
    </w:p>
    <w:p w14:paraId="6D14F046">
      <w:pPr>
        <w:pStyle w:val="29"/>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"_Toc30680" </w:instrText>
      </w:r>
      <w:r>
        <w:fldChar w:fldCharType="separate"/>
      </w:r>
      <w:r>
        <w:rPr>
          <w:rFonts w:hint="eastAsia" w:asciiTheme="minorEastAsia" w:hAnsiTheme="minorEastAsia" w:eastAsiaTheme="minorEastAsia"/>
        </w:rPr>
        <w:t xml:space="preserve">6 </w:t>
      </w:r>
      <w:r>
        <w:rPr>
          <w:rFonts w:asciiTheme="minorEastAsia" w:hAnsiTheme="minorEastAsia" w:eastAsiaTheme="minorEastAsia"/>
        </w:rPr>
        <w:t xml:space="preserve"> </w:t>
      </w:r>
      <w:r>
        <w:rPr>
          <w:rFonts w:hint="eastAsia" w:asciiTheme="minorEastAsia" w:hAnsiTheme="minorEastAsia" w:eastAsiaTheme="minorEastAsia"/>
          <w:lang w:val="en-US" w:eastAsia="zh-CN"/>
        </w:rPr>
        <w:t>仪器设备</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_Toc30680 \h </w:instrText>
      </w:r>
      <w:r>
        <w:rPr>
          <w:rFonts w:asciiTheme="minorEastAsia" w:hAnsiTheme="minorEastAsia" w:eastAsiaTheme="minorEastAsia"/>
        </w:rPr>
        <w:fldChar w:fldCharType="separate"/>
      </w:r>
      <w:r>
        <w:rPr>
          <w:rFonts w:asciiTheme="minorEastAsia" w:hAnsiTheme="minorEastAsia" w:eastAsiaTheme="minorEastAsia"/>
        </w:rPr>
        <w:t>3</w:t>
      </w:r>
      <w:r>
        <w:rPr>
          <w:rFonts w:asciiTheme="minorEastAsia" w:hAnsiTheme="minorEastAsia" w:eastAsiaTheme="minorEastAsia"/>
        </w:rPr>
        <w:fldChar w:fldCharType="end"/>
      </w:r>
      <w:r>
        <w:rPr>
          <w:rFonts w:asciiTheme="minorEastAsia" w:hAnsiTheme="minorEastAsia" w:eastAsiaTheme="minorEastAsia"/>
        </w:rPr>
        <w:fldChar w:fldCharType="end"/>
      </w:r>
    </w:p>
    <w:p w14:paraId="4E112E9E">
      <w:pPr>
        <w:pStyle w:val="29"/>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"_Toc6725" </w:instrText>
      </w:r>
      <w:r>
        <w:fldChar w:fldCharType="separate"/>
      </w:r>
      <w:r>
        <w:rPr>
          <w:rFonts w:hint="eastAsia" w:asciiTheme="minorEastAsia" w:hAnsiTheme="minorEastAsia" w:eastAsiaTheme="minorEastAsia"/>
        </w:rPr>
        <w:t xml:space="preserve">7 </w:t>
      </w:r>
      <w:r>
        <w:rPr>
          <w:rFonts w:asciiTheme="minorEastAsia" w:hAnsiTheme="minorEastAsia" w:eastAsiaTheme="minorEastAsia"/>
        </w:rPr>
        <w:t xml:space="preserve"> </w:t>
      </w:r>
      <w:r>
        <w:rPr>
          <w:rFonts w:hint="eastAsia" w:asciiTheme="minorEastAsia" w:hAnsiTheme="minorEastAsia" w:eastAsiaTheme="minorEastAsia"/>
          <w:lang w:val="en-US" w:eastAsia="zh-CN"/>
        </w:rPr>
        <w:t>筛选步骤</w:t>
      </w:r>
      <w:r>
        <w:rPr>
          <w:rFonts w:asciiTheme="minorEastAsia" w:hAnsiTheme="minorEastAsia" w:eastAsiaTheme="minorEastAsia"/>
        </w:rPr>
        <w:tab/>
      </w:r>
      <w:r>
        <w:rPr>
          <w:rFonts w:hint="eastAsia" w:asciiTheme="minorEastAsia" w:hAnsiTheme="minorEastAsia" w:eastAsiaTheme="minorEastAsia"/>
          <w:lang w:val="en-US" w:eastAsia="zh-CN"/>
        </w:rPr>
        <w:t>3</w:t>
      </w:r>
      <w:r>
        <w:rPr>
          <w:rFonts w:asciiTheme="minorEastAsia" w:hAnsiTheme="minorEastAsia" w:eastAsiaTheme="minorEastAsia"/>
        </w:rPr>
        <w:fldChar w:fldCharType="end"/>
      </w:r>
    </w:p>
    <w:p w14:paraId="0E49BBA4">
      <w:pPr>
        <w:pStyle w:val="29"/>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"_Toc15287" </w:instrText>
      </w:r>
      <w:r>
        <w:fldChar w:fldCharType="separate"/>
      </w:r>
      <w:r>
        <w:rPr>
          <w:rFonts w:hint="eastAsia" w:asciiTheme="minorEastAsia" w:hAnsiTheme="minorEastAsia" w:eastAsiaTheme="minorEastAsia"/>
        </w:rPr>
        <w:t xml:space="preserve">8 </w:t>
      </w:r>
      <w:r>
        <w:rPr>
          <w:rFonts w:asciiTheme="minorEastAsia" w:hAnsiTheme="minorEastAsia" w:eastAsiaTheme="minorEastAsia"/>
        </w:rPr>
        <w:t xml:space="preserve"> </w:t>
      </w:r>
      <w:r>
        <w:rPr>
          <w:rFonts w:hint="eastAsia" w:asciiTheme="minorEastAsia" w:hAnsiTheme="minorEastAsia" w:eastAsiaTheme="minorEastAsia"/>
          <w:lang w:val="en-US" w:eastAsia="zh-CN"/>
        </w:rPr>
        <w:t>qPCR</w:t>
      </w:r>
      <w:r>
        <w:rPr>
          <w:rFonts w:asciiTheme="minorEastAsia" w:hAnsiTheme="minorEastAsia" w:eastAsiaTheme="minorEastAsia"/>
        </w:rPr>
        <w:tab/>
      </w:r>
      <w:r>
        <w:rPr>
          <w:rFonts w:hint="eastAsia" w:asciiTheme="minorEastAsia" w:hAnsiTheme="minorEastAsia" w:eastAsiaTheme="minorEastAsia"/>
          <w:lang w:val="en-US" w:eastAsia="zh-CN"/>
        </w:rPr>
        <w:t>4</w:t>
      </w:r>
      <w:r>
        <w:rPr>
          <w:rFonts w:asciiTheme="minorEastAsia" w:hAnsiTheme="minorEastAsia" w:eastAsiaTheme="minorEastAsia"/>
        </w:rPr>
        <w:fldChar w:fldCharType="end"/>
      </w:r>
    </w:p>
    <w:p w14:paraId="05027173">
      <w:pPr>
        <w:tabs>
          <w:tab w:val="right" w:leader="dot" w:pos="9344"/>
        </w:tabs>
        <w:adjustRightInd w:val="0"/>
        <w:spacing w:line="400" w:lineRule="exact"/>
        <w:ind w:firstLine="0" w:firstLineChars="0"/>
        <w:rPr>
          <w:rFonts w:hAnsi="宋体"/>
        </w:rPr>
      </w:pPr>
      <w:r>
        <w:rPr>
          <w:rFonts w:hint="eastAsia" w:cs="宋体" w:asciiTheme="minorEastAsia" w:hAnsiTheme="minorEastAsia" w:eastAsiaTheme="minorEastAsia"/>
        </w:rPr>
        <w:fldChar w:fldCharType="end"/>
      </w:r>
    </w:p>
    <w:p w14:paraId="7E3A693D">
      <w:pPr>
        <w:pStyle w:val="114"/>
      </w:pPr>
      <w:bookmarkStart w:id="10" w:name="_Toc31588"/>
      <w:bookmarkStart w:id="11" w:name="_Toc34814875"/>
      <w:bookmarkStart w:id="12" w:name="BKQY"/>
      <w:r>
        <w:rPr>
          <w:rFonts w:hint="eastAsia"/>
        </w:rPr>
        <w:t>前</w:t>
      </w:r>
      <w:r>
        <w:rPr>
          <w:rFonts w:hAnsi="黑体"/>
        </w:rPr>
        <w:t>  </w:t>
      </w:r>
      <w:r>
        <w:rPr>
          <w:rFonts w:hint="eastAsia"/>
        </w:rPr>
        <w:t>言</w:t>
      </w:r>
      <w:bookmarkEnd w:id="10"/>
      <w:bookmarkEnd w:id="11"/>
      <w:bookmarkEnd w:id="12"/>
    </w:p>
    <w:p w14:paraId="00C7A583">
      <w:pPr>
        <w:pStyle w:val="24"/>
      </w:pPr>
      <w:r>
        <w:rPr>
          <w:rFonts w:hint="eastAsia"/>
        </w:rPr>
        <w:t>本文件按照GB/T 1.1-2020《标准化工作导则 第1部分：标准化文件的结构和起草规则》的规则起草。</w:t>
      </w:r>
    </w:p>
    <w:p w14:paraId="6853FF1F">
      <w:pPr>
        <w:pStyle w:val="24"/>
      </w:pPr>
      <w:r>
        <w:rPr>
          <w:rFonts w:hint="eastAsia"/>
        </w:rPr>
        <w:t>本文件由</w:t>
      </w:r>
      <w:r>
        <w:rPr>
          <w:rFonts w:hint="eastAsia"/>
          <w:szCs w:val="22"/>
          <w:lang w:eastAsia="zh-CN"/>
        </w:rPr>
        <w:t>深圳市生命科学与生物技术协会</w:t>
      </w:r>
      <w:r>
        <w:rPr>
          <w:rFonts w:hint="eastAsia"/>
        </w:rPr>
        <w:t>提出并归口。</w:t>
      </w:r>
    </w:p>
    <w:p w14:paraId="1A915F07">
      <w:pPr>
        <w:pStyle w:val="24"/>
        <w:rPr>
          <w:rFonts w:hint="eastAsia"/>
        </w:rPr>
      </w:pPr>
      <w:r>
        <w:rPr>
          <w:rFonts w:hint="eastAsia"/>
        </w:rPr>
        <w:t>本文件起草单位：</w:t>
      </w:r>
    </w:p>
    <w:p w14:paraId="381EB1E7">
      <w:pPr>
        <w:pStyle w:val="24"/>
      </w:pPr>
      <w:r>
        <w:rPr>
          <w:rFonts w:hint="eastAsia"/>
        </w:rPr>
        <w:t>本文件主要起草人：</w:t>
      </w:r>
    </w:p>
    <w:p w14:paraId="607F09EB">
      <w:pPr>
        <w:ind w:firstLine="420" w:firstLineChars="200"/>
        <w:rPr>
          <w:color w:val="000000" w:themeColor="text1"/>
          <w14:textFill>
            <w14:solidFill>
              <w14:schemeClr w14:val="tx1"/>
            </w14:solidFill>
          </w14:textFill>
        </w:rPr>
      </w:pPr>
      <w:r>
        <w:rPr>
          <w:color w:val="000000" w:themeColor="text1"/>
          <w:kern w:val="0"/>
          <w14:textFill>
            <w14:solidFill>
              <w14:schemeClr w14:val="tx1"/>
            </w14:solidFill>
          </w14:textFill>
        </w:rPr>
        <w:t>本</w:t>
      </w:r>
      <w:r>
        <w:rPr>
          <w:rFonts w:hint="eastAsia"/>
          <w:color w:val="000000" w:themeColor="text1"/>
          <w:kern w:val="0"/>
          <w14:textFill>
            <w14:solidFill>
              <w14:schemeClr w14:val="tx1"/>
            </w14:solidFill>
          </w14:textFill>
        </w:rPr>
        <w:t>文件</w:t>
      </w:r>
      <w:r>
        <w:rPr>
          <w:color w:val="000000" w:themeColor="text1"/>
          <w:kern w:val="0"/>
          <w14:textFill>
            <w14:solidFill>
              <w14:schemeClr w14:val="tx1"/>
            </w14:solidFill>
          </w14:textFill>
        </w:rPr>
        <w:t>为首次发布。</w:t>
      </w:r>
    </w:p>
    <w:p w14:paraId="34A4165C">
      <w:pPr>
        <w:pStyle w:val="24"/>
        <w:sectPr>
          <w:headerReference r:id="rId5" w:type="default"/>
          <w:footerReference r:id="rId6" w:type="default"/>
          <w:pgSz w:w="11906" w:h="16838"/>
          <w:pgMar w:top="567" w:right="1134" w:bottom="1134" w:left="1418" w:header="1418" w:footer="1134" w:gutter="0"/>
          <w:pgNumType w:fmt="upperRoman" w:start="1"/>
          <w:cols w:space="425" w:num="1"/>
          <w:formProt w:val="0"/>
          <w:docGrid w:type="lines" w:linePitch="312" w:charSpace="0"/>
        </w:sectPr>
      </w:pPr>
    </w:p>
    <w:p w14:paraId="2C82F014">
      <w:pPr>
        <w:pStyle w:val="52"/>
        <w:rPr>
          <w:rFonts w:hAnsi="黑体" w:cs="黑体"/>
          <w:b/>
          <w:color w:val="000000"/>
          <w:sz w:val="28"/>
        </w:rPr>
      </w:pPr>
      <w:bookmarkStart w:id="13" w:name="_Toc15022903"/>
      <w:bookmarkStart w:id="14" w:name="_Toc34814030"/>
      <w:bookmarkStart w:id="15" w:name="_Toc15029748"/>
      <w:bookmarkStart w:id="16" w:name="_Toc34814876"/>
      <w:bookmarkStart w:id="17" w:name="_Toc15022400"/>
      <w:bookmarkStart w:id="18" w:name="_Toc16518"/>
      <w:bookmarkStart w:id="19" w:name="_Toc45117180"/>
      <w:bookmarkStart w:id="20" w:name="_Toc43215113"/>
      <w:bookmarkStart w:id="21" w:name="_Toc34834498"/>
      <w:sdt>
        <w:sdtPr>
          <w:rPr>
            <w:rFonts w:hint="eastAsia" w:hAnsi="黑体" w:cstheme="minorBidi"/>
            <w:szCs w:val="32"/>
          </w:rPr>
          <w:alias w:val="标准名称"/>
          <w:tag w:val="标准名称"/>
          <w:id w:val="-1285648840"/>
          <w:lock w:val="sdtLocked"/>
          <w:placeholder>
            <w:docPart w:val="111"/>
          </w:placeholder>
          <w:text w:multiLine="1"/>
        </w:sdtPr>
        <w:sdtEndPr>
          <w:rPr>
            <w:rFonts w:hint="eastAsia" w:hAnsi="黑体" w:cstheme="minorBidi"/>
            <w:szCs w:val="32"/>
          </w:rPr>
        </w:sdtEndPr>
        <w:sdtContent>
          <w:r>
            <w:rPr>
              <w:rFonts w:hint="eastAsia" w:hAnsi="黑体" w:cstheme="minorBidi"/>
              <w:szCs w:val="32"/>
            </w:rPr>
            <w:t>无须配体的活细胞筛选技术标准</w:t>
          </w:r>
        </w:sdtContent>
      </w:sdt>
      <w:bookmarkEnd w:id="13"/>
      <w:bookmarkEnd w:id="14"/>
      <w:bookmarkEnd w:id="15"/>
      <w:bookmarkEnd w:id="16"/>
      <w:bookmarkEnd w:id="17"/>
      <w:bookmarkEnd w:id="18"/>
      <w:bookmarkEnd w:id="19"/>
      <w:bookmarkEnd w:id="20"/>
      <w:bookmarkEnd w:id="21"/>
      <w:bookmarkStart w:id="22" w:name="StandardName"/>
      <w:bookmarkEnd w:id="22"/>
    </w:p>
    <w:p w14:paraId="3C1568A9">
      <w:pPr>
        <w:pStyle w:val="47"/>
        <w:numPr>
          <w:ilvl w:val="0"/>
          <w:numId w:val="18"/>
        </w:numPr>
        <w:spacing w:before="312" w:after="312"/>
      </w:pPr>
      <w:bookmarkStart w:id="23" w:name="_Toc21516967"/>
      <w:bookmarkStart w:id="24" w:name="_Toc19828080"/>
      <w:bookmarkStart w:id="25" w:name="_Toc19828165"/>
      <w:bookmarkStart w:id="26" w:name="_Toc19826643"/>
      <w:bookmarkStart w:id="27" w:name="_Toc25571"/>
      <w:bookmarkStart w:id="28" w:name="_Toc19828131"/>
      <w:bookmarkStart w:id="29" w:name="_Toc13994"/>
      <w:bookmarkStart w:id="30" w:name="_Toc19875975"/>
      <w:bookmarkStart w:id="31" w:name="_Toc12015"/>
      <w:r>
        <w:t>范围</w:t>
      </w:r>
      <w:bookmarkEnd w:id="23"/>
      <w:bookmarkEnd w:id="24"/>
      <w:bookmarkEnd w:id="25"/>
      <w:bookmarkEnd w:id="26"/>
      <w:bookmarkEnd w:id="27"/>
      <w:bookmarkEnd w:id="28"/>
      <w:bookmarkEnd w:id="29"/>
      <w:bookmarkEnd w:id="30"/>
      <w:bookmarkEnd w:id="31"/>
    </w:p>
    <w:p w14:paraId="7FE2D5F9">
      <w:pPr>
        <w:pStyle w:val="24"/>
        <w:rPr>
          <w:spacing w:val="-8"/>
        </w:rPr>
      </w:pPr>
      <w:r>
        <w:rPr>
          <w:rFonts w:hint="eastAsia"/>
        </w:rPr>
        <w:t>本文件规定了无须配体的DNA编码化合物库的活细胞筛选相关流程及检验方法</w:t>
      </w:r>
      <w:r>
        <w:rPr>
          <w:rFonts w:hint="eastAsia"/>
          <w:spacing w:val="-8"/>
        </w:rPr>
        <w:t>。</w:t>
      </w:r>
    </w:p>
    <w:p w14:paraId="094C3033">
      <w:pPr>
        <w:pStyle w:val="24"/>
      </w:pPr>
      <w:r>
        <w:rPr>
          <w:rFonts w:hint="eastAsia"/>
        </w:rPr>
        <w:t>本文件适用于无须配体的DNA编码化合物库的的活细胞筛选技术。</w:t>
      </w:r>
    </w:p>
    <w:p w14:paraId="0262E778">
      <w:pPr>
        <w:pStyle w:val="47"/>
        <w:numPr>
          <w:ilvl w:val="0"/>
          <w:numId w:val="18"/>
        </w:numPr>
        <w:spacing w:before="312" w:after="312"/>
      </w:pPr>
      <w:bookmarkStart w:id="32" w:name="_Toc19828083"/>
      <w:bookmarkStart w:id="33" w:name="_Toc19826646"/>
      <w:bookmarkStart w:id="34" w:name="_Toc19875976"/>
      <w:bookmarkStart w:id="35" w:name="_Toc22543"/>
      <w:bookmarkStart w:id="36" w:name="_Toc19828134"/>
      <w:bookmarkStart w:id="37" w:name="_Toc19828166"/>
      <w:bookmarkStart w:id="38" w:name="_Toc11827"/>
      <w:bookmarkStart w:id="39" w:name="_Toc489260168"/>
      <w:bookmarkStart w:id="40" w:name="_Toc21516968"/>
      <w:bookmarkStart w:id="41" w:name="_Toc489260118"/>
      <w:r>
        <w:t>规范性引用文件</w:t>
      </w:r>
      <w:bookmarkEnd w:id="32"/>
      <w:bookmarkEnd w:id="33"/>
      <w:bookmarkEnd w:id="34"/>
      <w:bookmarkEnd w:id="35"/>
      <w:bookmarkEnd w:id="36"/>
      <w:bookmarkEnd w:id="37"/>
      <w:bookmarkEnd w:id="38"/>
      <w:bookmarkEnd w:id="39"/>
      <w:bookmarkEnd w:id="40"/>
      <w:bookmarkEnd w:id="41"/>
    </w:p>
    <w:p w14:paraId="335C2D7C">
      <w:pPr>
        <w:pStyle w:val="24"/>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42" w:name="_Toc19875977"/>
    </w:p>
    <w:p w14:paraId="4F09E7CA">
      <w:pPr>
        <w:pStyle w:val="24"/>
        <w:rPr>
          <w:rFonts w:hint="eastAsia"/>
        </w:rPr>
      </w:pPr>
      <w:bookmarkStart w:id="43" w:name="_Toc16406"/>
      <w:bookmarkStart w:id="44" w:name="_Toc21516969"/>
      <w:r>
        <w:rPr>
          <w:rFonts w:hint="eastAsia"/>
        </w:rPr>
        <w:t xml:space="preserve">GB/T 6682-2008 </w:t>
      </w:r>
      <w:r>
        <w:rPr>
          <w:rFonts w:hint="eastAsia"/>
          <w:lang w:val="en-US" w:eastAsia="zh-CN"/>
        </w:rPr>
        <w:t xml:space="preserve"> </w:t>
      </w:r>
      <w:r>
        <w:rPr>
          <w:rFonts w:hint="eastAsia"/>
        </w:rPr>
        <w:t>分析实验室用水规格和实验方法</w:t>
      </w:r>
    </w:p>
    <w:p w14:paraId="64EDB69E">
      <w:pPr>
        <w:pStyle w:val="24"/>
      </w:pPr>
      <w:r>
        <w:rPr>
          <w:rFonts w:hint="eastAsia"/>
        </w:rPr>
        <w:t xml:space="preserve">GB/T 42076.1-2022 </w:t>
      </w:r>
      <w:r>
        <w:rPr>
          <w:rFonts w:hint="eastAsia"/>
          <w:lang w:val="en-US" w:eastAsia="zh-CN"/>
        </w:rPr>
        <w:t xml:space="preserve"> </w:t>
      </w:r>
      <w:r>
        <w:rPr>
          <w:rFonts w:hint="eastAsia"/>
        </w:rPr>
        <w:t xml:space="preserve">生物技术 </w:t>
      </w:r>
      <w:r>
        <w:rPr>
          <w:rFonts w:hint="eastAsia"/>
          <w:lang w:val="en-US" w:eastAsia="zh-CN"/>
        </w:rPr>
        <w:t xml:space="preserve"> </w:t>
      </w:r>
      <w:r>
        <w:rPr>
          <w:rFonts w:hint="eastAsia"/>
        </w:rPr>
        <w:t xml:space="preserve">细胞计数 </w:t>
      </w:r>
      <w:r>
        <w:rPr>
          <w:rFonts w:hint="eastAsia"/>
          <w:lang w:val="en-US" w:eastAsia="zh-CN"/>
        </w:rPr>
        <w:t xml:space="preserve"> </w:t>
      </w:r>
      <w:r>
        <w:rPr>
          <w:rFonts w:hint="eastAsia"/>
        </w:rPr>
        <w:t>第1部分：细胞计数方法通则</w:t>
      </w:r>
    </w:p>
    <w:p w14:paraId="0356030E">
      <w:pPr>
        <w:pStyle w:val="24"/>
      </w:pPr>
      <w:r>
        <w:rPr>
          <w:rFonts w:hint="eastAsia"/>
        </w:rPr>
        <w:t>GB/T 38477-2020</w:t>
      </w:r>
      <w:r>
        <w:rPr>
          <w:rFonts w:hint="eastAsia"/>
          <w:lang w:val="en-US" w:eastAsia="zh-CN"/>
        </w:rPr>
        <w:t xml:space="preserve"> </w:t>
      </w:r>
      <w:r>
        <w:rPr>
          <w:rFonts w:hint="eastAsia"/>
        </w:rPr>
        <w:t xml:space="preserve"> 基因表达的测定 </w:t>
      </w:r>
      <w:r>
        <w:rPr>
          <w:rFonts w:hint="eastAsia"/>
          <w:lang w:val="en-US" w:eastAsia="zh-CN"/>
        </w:rPr>
        <w:t xml:space="preserve"> </w:t>
      </w:r>
      <w:r>
        <w:rPr>
          <w:rFonts w:hint="eastAsia"/>
        </w:rPr>
        <w:t>蛋白印迹法</w:t>
      </w:r>
    </w:p>
    <w:p w14:paraId="250834C2">
      <w:pPr>
        <w:pStyle w:val="24"/>
      </w:pPr>
      <w:r>
        <w:rPr>
          <w:rFonts w:hint="eastAsia"/>
        </w:rPr>
        <w:t xml:space="preserve">GB/T 23814-2009 </w:t>
      </w:r>
      <w:r>
        <w:rPr>
          <w:rFonts w:hint="eastAsia"/>
          <w:lang w:val="en-US" w:eastAsia="zh-CN"/>
        </w:rPr>
        <w:t xml:space="preserve"> </w:t>
      </w:r>
      <w:r>
        <w:rPr>
          <w:rFonts w:hint="eastAsia"/>
        </w:rPr>
        <w:t>莲蓉制品中芸豆成分定性PCR检测方法</w:t>
      </w:r>
    </w:p>
    <w:p w14:paraId="58B9C4D8">
      <w:pPr>
        <w:pStyle w:val="24"/>
      </w:pPr>
      <w:r>
        <w:rPr>
          <w:rFonts w:hint="eastAsia"/>
        </w:rPr>
        <w:t xml:space="preserve">GB/T 34796-2017 </w:t>
      </w:r>
      <w:r>
        <w:rPr>
          <w:rFonts w:hint="eastAsia"/>
          <w:lang w:val="en-US" w:eastAsia="zh-CN"/>
        </w:rPr>
        <w:t xml:space="preserve"> </w:t>
      </w:r>
      <w:r>
        <w:rPr>
          <w:rFonts w:hint="eastAsia"/>
        </w:rPr>
        <w:t>水溶液中核酸的浓度和纯度检测 紫外分光光度法</w:t>
      </w:r>
    </w:p>
    <w:p w14:paraId="32BA7EF1">
      <w:pPr>
        <w:pStyle w:val="24"/>
        <w:rPr>
          <w:rFonts w:hint="eastAsia"/>
        </w:rPr>
      </w:pPr>
      <w:r>
        <w:rPr>
          <w:rFonts w:hint="eastAsia"/>
        </w:rPr>
        <w:t xml:space="preserve">GB/T 42077-2022 </w:t>
      </w:r>
      <w:r>
        <w:rPr>
          <w:rFonts w:hint="eastAsia"/>
          <w:lang w:val="en-US" w:eastAsia="zh-CN"/>
        </w:rPr>
        <w:t xml:space="preserve"> </w:t>
      </w:r>
      <w:r>
        <w:rPr>
          <w:rFonts w:hint="eastAsia"/>
        </w:rPr>
        <w:t xml:space="preserve">生物技术 </w:t>
      </w:r>
      <w:r>
        <w:rPr>
          <w:rFonts w:hint="eastAsia"/>
          <w:lang w:val="en-US" w:eastAsia="zh-CN"/>
        </w:rPr>
        <w:t xml:space="preserve"> </w:t>
      </w:r>
      <w:r>
        <w:rPr>
          <w:rFonts w:hint="eastAsia"/>
        </w:rPr>
        <w:t>核酸靶序列定量方法的性能评价要求qPCR法和dPCR法</w:t>
      </w:r>
    </w:p>
    <w:p w14:paraId="1133E9EE">
      <w:pPr>
        <w:pStyle w:val="47"/>
        <w:numPr>
          <w:ilvl w:val="0"/>
          <w:numId w:val="18"/>
        </w:numPr>
        <w:spacing w:before="312" w:after="312"/>
      </w:pPr>
      <w:bookmarkStart w:id="45" w:name="_Toc1306"/>
      <w:r>
        <w:rPr>
          <w:rFonts w:hint="eastAsia"/>
        </w:rPr>
        <w:t>术语</w:t>
      </w:r>
      <w:r>
        <w:t>和定义</w:t>
      </w:r>
      <w:bookmarkEnd w:id="42"/>
      <w:bookmarkEnd w:id="43"/>
      <w:bookmarkEnd w:id="44"/>
      <w:bookmarkStart w:id="46" w:name="_Toc6161"/>
      <w:r>
        <w:rPr>
          <w:rFonts w:hint="eastAsia"/>
          <w:lang w:eastAsia="zh-CN"/>
        </w:rPr>
        <w:t>、</w:t>
      </w:r>
      <w:r>
        <w:rPr>
          <w:rFonts w:hint="eastAsia"/>
          <w:lang w:val="en-US" w:eastAsia="zh-CN"/>
        </w:rPr>
        <w:t>缩略语</w:t>
      </w:r>
      <w:bookmarkEnd w:id="45"/>
      <w:bookmarkEnd w:id="46"/>
    </w:p>
    <w:p w14:paraId="5C741B7C">
      <w:pPr>
        <w:numPr>
          <w:ilvl w:val="1"/>
          <w:numId w:val="18"/>
        </w:numPr>
        <w:spacing w:before="156" w:beforeLines="50" w:after="156" w:afterLines="50"/>
        <w:ind w:left="0"/>
        <w:outlineLvl w:val="2"/>
        <w:rPr>
          <w:rFonts w:ascii="黑体" w:eastAsia="黑体"/>
          <w:szCs w:val="21"/>
          <w:highlight w:val="none"/>
        </w:rPr>
      </w:pPr>
      <w:bookmarkStart w:id="47" w:name="_Toc77414852"/>
      <w:bookmarkEnd w:id="47"/>
      <w:bookmarkStart w:id="48" w:name="_Toc77414687"/>
      <w:bookmarkEnd w:id="48"/>
      <w:r>
        <w:rPr>
          <w:rFonts w:hint="eastAsia" w:ascii="黑体" w:eastAsia="黑体"/>
          <w:szCs w:val="21"/>
          <w:highlight w:val="none"/>
          <w:lang w:val="en-US" w:eastAsia="zh-CN"/>
        </w:rPr>
        <w:t>术语和定义</w:t>
      </w:r>
    </w:p>
    <w:p w14:paraId="3161F671">
      <w:pPr>
        <w:pStyle w:val="24"/>
        <w:keepNext w:val="0"/>
        <w:keepLines w:val="0"/>
        <w:pageBreakBefore w:val="0"/>
        <w:widowControl/>
        <w:kinsoku/>
        <w:wordWrap/>
        <w:overflowPunct/>
        <w:topLinePunct w:val="0"/>
        <w:autoSpaceDE w:val="0"/>
        <w:autoSpaceDN w:val="0"/>
        <w:bidi w:val="0"/>
        <w:adjustRightInd/>
        <w:snapToGrid/>
        <w:textAlignment w:val="auto"/>
        <w:rPr>
          <w:highlight w:val="none"/>
        </w:rPr>
      </w:pPr>
      <w:r>
        <w:rPr>
          <w:rFonts w:hint="eastAsia"/>
          <w:highlight w:val="none"/>
          <w:lang w:val="en-US" w:eastAsia="zh-CN"/>
        </w:rPr>
        <w:t>下列术语和定义适用于本文件</w:t>
      </w:r>
      <w:r>
        <w:rPr>
          <w:rFonts w:hint="eastAsia"/>
          <w:highlight w:val="none"/>
        </w:rPr>
        <w:t>。</w:t>
      </w:r>
    </w:p>
    <w:p w14:paraId="682138B9">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hint="eastAsia" w:ascii="黑体" w:eastAsia="黑体"/>
          <w:szCs w:val="21"/>
          <w:highlight w:val="none"/>
        </w:rPr>
      </w:pPr>
    </w:p>
    <w:p w14:paraId="7D8EA427">
      <w:pPr>
        <w:spacing w:before="156" w:beforeLines="50" w:after="156" w:afterLines="50"/>
        <w:ind w:firstLine="420" w:firstLineChars="200"/>
        <w:outlineLvl w:val="2"/>
        <w:rPr>
          <w:rFonts w:ascii="黑体" w:eastAsia="黑体"/>
          <w:szCs w:val="21"/>
          <w:highlight w:val="none"/>
        </w:rPr>
      </w:pPr>
      <w:r>
        <w:rPr>
          <w:rFonts w:hint="eastAsia" w:ascii="黑体" w:eastAsia="黑体"/>
          <w:szCs w:val="21"/>
          <w:highlight w:val="none"/>
        </w:rPr>
        <w:t>DNA编码化合物库</w:t>
      </w:r>
      <w:r>
        <w:rPr>
          <w:rFonts w:ascii="黑体" w:eastAsia="黑体"/>
          <w:szCs w:val="21"/>
          <w:highlight w:val="none"/>
        </w:rPr>
        <w:t xml:space="preserve">  </w:t>
      </w:r>
      <w:r>
        <w:rPr>
          <w:rFonts w:hint="eastAsia" w:ascii="黑体" w:eastAsia="黑体"/>
          <w:szCs w:val="21"/>
          <w:highlight w:val="none"/>
          <w:lang w:val="en-US" w:eastAsia="zh-CN"/>
        </w:rPr>
        <w:t>DNA</w:t>
      </w:r>
      <w:r>
        <w:rPr>
          <w:rFonts w:hint="eastAsia" w:ascii="黑体" w:hAnsi="黑体" w:eastAsia="黑体"/>
          <w:highlight w:val="none"/>
        </w:rPr>
        <w:t xml:space="preserve"> </w:t>
      </w:r>
      <w:r>
        <w:rPr>
          <w:rFonts w:hint="eastAsia" w:ascii="黑体" w:hAnsi="黑体" w:eastAsia="黑体"/>
          <w:highlight w:val="none"/>
          <w:lang w:val="en-US" w:eastAsia="zh-CN"/>
        </w:rPr>
        <w:t>e</w:t>
      </w:r>
      <w:r>
        <w:rPr>
          <w:rFonts w:hint="eastAsia" w:ascii="黑体" w:hAnsi="黑体" w:eastAsia="黑体"/>
          <w:highlight w:val="none"/>
        </w:rPr>
        <w:t xml:space="preserve">ncoded </w:t>
      </w:r>
      <w:r>
        <w:rPr>
          <w:rFonts w:hint="eastAsia" w:ascii="黑体" w:hAnsi="黑体" w:eastAsia="黑体"/>
          <w:highlight w:val="none"/>
          <w:lang w:val="en-US" w:eastAsia="zh-CN"/>
        </w:rPr>
        <w:t>c</w:t>
      </w:r>
      <w:r>
        <w:rPr>
          <w:rFonts w:hint="eastAsia" w:ascii="黑体" w:hAnsi="黑体" w:eastAsia="黑体"/>
          <w:highlight w:val="none"/>
        </w:rPr>
        <w:t xml:space="preserve">ompound </w:t>
      </w:r>
      <w:r>
        <w:rPr>
          <w:rFonts w:hint="eastAsia" w:ascii="黑体" w:hAnsi="黑体" w:eastAsia="黑体"/>
          <w:highlight w:val="none"/>
          <w:lang w:val="en-US" w:eastAsia="zh-CN"/>
        </w:rPr>
        <w:t>l</w:t>
      </w:r>
      <w:r>
        <w:rPr>
          <w:rFonts w:hint="eastAsia" w:ascii="黑体" w:hAnsi="黑体" w:eastAsia="黑体"/>
          <w:highlight w:val="none"/>
        </w:rPr>
        <w:t>ibrary</w:t>
      </w:r>
    </w:p>
    <w:p w14:paraId="567857FB">
      <w:pPr>
        <w:pStyle w:val="24"/>
        <w:rPr>
          <w:highlight w:val="none"/>
        </w:rPr>
      </w:pPr>
      <w:r>
        <w:rPr>
          <w:rFonts w:hint="eastAsia"/>
          <w:highlight w:val="none"/>
        </w:rPr>
        <w:t>由大量被已知唯一的DNA序列所标记的化合物混合而成的化合物的集合。</w:t>
      </w:r>
    </w:p>
    <w:p w14:paraId="2760AA55">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highlight w:val="none"/>
        </w:rPr>
      </w:pPr>
      <w:bookmarkStart w:id="49" w:name="_Toc77414854"/>
      <w:bookmarkEnd w:id="49"/>
      <w:bookmarkStart w:id="50" w:name="_Toc77414689"/>
      <w:bookmarkEnd w:id="50"/>
    </w:p>
    <w:p w14:paraId="0B770BA1">
      <w:pPr>
        <w:spacing w:before="156" w:beforeLines="50" w:after="156" w:afterLines="50"/>
        <w:ind w:firstLine="420" w:firstLineChars="200"/>
        <w:outlineLvl w:val="2"/>
        <w:rPr>
          <w:rFonts w:ascii="黑体" w:hAnsi="黑体" w:eastAsia="黑体"/>
          <w:szCs w:val="21"/>
          <w:highlight w:val="none"/>
        </w:rPr>
      </w:pPr>
      <w:r>
        <w:rPr>
          <w:rFonts w:hint="eastAsia" w:ascii="黑体" w:hAnsi="黑体" w:eastAsia="黑体"/>
          <w:highlight w:val="none"/>
        </w:rPr>
        <w:t>配体</w:t>
      </w:r>
      <w:r>
        <w:rPr>
          <w:rFonts w:ascii="黑体" w:hAnsi="黑体" w:eastAsia="黑体"/>
          <w:highlight w:val="none"/>
        </w:rPr>
        <w:t xml:space="preserve"> </w:t>
      </w:r>
      <w:bookmarkStart w:id="51" w:name="OLE_LINK1"/>
      <w:bookmarkStart w:id="52" w:name="OLE_LINK2"/>
      <w:r>
        <w:rPr>
          <w:rFonts w:ascii="黑体" w:hAnsi="黑体" w:eastAsia="黑体"/>
          <w:highlight w:val="none"/>
        </w:rPr>
        <w:t xml:space="preserve"> </w:t>
      </w:r>
      <w:bookmarkEnd w:id="51"/>
      <w:bookmarkEnd w:id="52"/>
      <w:r>
        <w:rPr>
          <w:rFonts w:hint="eastAsia" w:ascii="黑体" w:hAnsi="黑体" w:eastAsia="黑体"/>
          <w:highlight w:val="none"/>
        </w:rPr>
        <w:t>ligand</w:t>
      </w:r>
    </w:p>
    <w:p w14:paraId="672F222A">
      <w:pPr>
        <w:pStyle w:val="24"/>
        <w:rPr>
          <w:highlight w:val="none"/>
        </w:rPr>
      </w:pPr>
      <w:r>
        <w:rPr>
          <w:rFonts w:hint="eastAsia"/>
          <w:highlight w:val="none"/>
        </w:rPr>
        <w:t>本身具有特别的生物活性，能和受体特异性结合的生物活性分子。</w:t>
      </w:r>
    </w:p>
    <w:p w14:paraId="5D4E1DD7">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highlight w:val="none"/>
        </w:rPr>
      </w:pPr>
      <w:bookmarkStart w:id="53" w:name="_Toc77414856"/>
      <w:bookmarkEnd w:id="53"/>
      <w:bookmarkStart w:id="54" w:name="_Toc77414691"/>
      <w:bookmarkEnd w:id="54"/>
    </w:p>
    <w:p w14:paraId="4D32D782">
      <w:pPr>
        <w:spacing w:before="156" w:beforeLines="50" w:after="156" w:afterLines="50"/>
        <w:ind w:firstLine="420" w:firstLineChars="200"/>
        <w:outlineLvl w:val="2"/>
        <w:rPr>
          <w:rFonts w:ascii="黑体" w:hAnsi="黑体" w:eastAsia="黑体"/>
          <w:szCs w:val="21"/>
          <w:highlight w:val="none"/>
        </w:rPr>
      </w:pPr>
      <w:r>
        <w:rPr>
          <w:rFonts w:hint="eastAsia" w:ascii="黑体" w:hAnsi="黑体" w:eastAsia="黑体"/>
          <w:highlight w:val="none"/>
        </w:rPr>
        <w:t>细胞培养</w:t>
      </w:r>
      <w:r>
        <w:rPr>
          <w:rFonts w:ascii="黑体" w:hAnsi="黑体" w:eastAsia="黑体"/>
          <w:szCs w:val="21"/>
          <w:highlight w:val="none"/>
        </w:rPr>
        <w:t xml:space="preserve">  </w:t>
      </w:r>
      <w:r>
        <w:rPr>
          <w:rFonts w:hint="eastAsia" w:ascii="黑体" w:hAnsi="黑体" w:eastAsia="黑体"/>
          <w:szCs w:val="21"/>
          <w:highlight w:val="none"/>
        </w:rPr>
        <w:t>cell culture</w:t>
      </w:r>
    </w:p>
    <w:p w14:paraId="634AA9BB">
      <w:pPr>
        <w:pStyle w:val="24"/>
        <w:rPr>
          <w:highlight w:val="none"/>
        </w:rPr>
      </w:pPr>
      <w:r>
        <w:rPr>
          <w:rFonts w:hint="eastAsia"/>
          <w:highlight w:val="none"/>
        </w:rPr>
        <w:t>使提取的细胞在体外生长、扩增并维持其生物学特性的过程。</w:t>
      </w:r>
    </w:p>
    <w:p w14:paraId="45E0221F">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rPr>
      </w:pPr>
    </w:p>
    <w:p w14:paraId="45272F1E">
      <w:pPr>
        <w:spacing w:before="156" w:beforeLines="50" w:after="156" w:afterLines="50"/>
        <w:ind w:firstLine="420" w:firstLineChars="200"/>
        <w:outlineLvl w:val="2"/>
        <w:rPr>
          <w:rFonts w:ascii="黑体" w:hAnsi="黑体" w:eastAsia="黑体"/>
          <w:szCs w:val="21"/>
          <w:highlight w:val="none"/>
        </w:rPr>
      </w:pPr>
      <w:r>
        <w:rPr>
          <w:rFonts w:hint="eastAsia" w:ascii="黑体" w:hAnsi="黑体" w:eastAsia="黑体"/>
          <w:szCs w:val="21"/>
        </w:rPr>
        <w:t>基础培养基</w:t>
      </w:r>
      <w:r>
        <w:rPr>
          <w:rFonts w:ascii="黑体" w:hAnsi="黑体" w:eastAsia="黑体"/>
          <w:szCs w:val="21"/>
        </w:rPr>
        <w:t xml:space="preserve">  </w:t>
      </w:r>
      <w:r>
        <w:rPr>
          <w:rFonts w:hint="eastAsia" w:ascii="黑体" w:hAnsi="黑体" w:eastAsia="黑体"/>
          <w:highlight w:val="none"/>
        </w:rPr>
        <w:t>minimal medium</w:t>
      </w:r>
      <w:r>
        <w:rPr>
          <w:rFonts w:ascii="黑体" w:hAnsi="黑体" w:eastAsia="黑体"/>
          <w:szCs w:val="21"/>
          <w:highlight w:val="none"/>
        </w:rPr>
        <w:t xml:space="preserve"> </w:t>
      </w:r>
    </w:p>
    <w:p w14:paraId="3C426133">
      <w:pPr>
        <w:pStyle w:val="24"/>
      </w:pPr>
      <w:r>
        <w:rPr>
          <w:rFonts w:hint="eastAsia"/>
        </w:rPr>
        <w:t>含有细胞增殖和发育必要的基础物质的培养基。</w:t>
      </w:r>
    </w:p>
    <w:p w14:paraId="7AB3FD6D">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rPr>
      </w:pPr>
      <w:bookmarkStart w:id="55" w:name="_Toc77403855"/>
      <w:bookmarkStart w:id="56" w:name="_Toc77403538"/>
    </w:p>
    <w:bookmarkEnd w:id="55"/>
    <w:bookmarkEnd w:id="56"/>
    <w:p w14:paraId="4806B45B">
      <w:pPr>
        <w:spacing w:before="156" w:beforeLines="50" w:after="156" w:afterLines="50"/>
        <w:ind w:firstLine="420" w:firstLineChars="200"/>
        <w:outlineLvl w:val="2"/>
        <w:rPr>
          <w:rFonts w:ascii="黑体" w:eastAsia="黑体"/>
          <w:szCs w:val="21"/>
          <w:highlight w:val="yellow"/>
        </w:rPr>
      </w:pPr>
      <w:r>
        <w:rPr>
          <w:rFonts w:hint="eastAsia" w:ascii="黑体" w:eastAsia="黑体"/>
          <w:szCs w:val="21"/>
        </w:rPr>
        <w:t>完全培养基</w:t>
      </w:r>
      <w:r>
        <w:rPr>
          <w:rFonts w:ascii="黑体" w:eastAsia="黑体"/>
          <w:szCs w:val="21"/>
          <w:highlight w:val="none"/>
        </w:rPr>
        <w:t xml:space="preserve"> </w:t>
      </w:r>
      <w:r>
        <w:rPr>
          <w:rFonts w:hint="eastAsia" w:ascii="黑体" w:eastAsia="黑体"/>
          <w:szCs w:val="21"/>
          <w:highlight w:val="none"/>
          <w:lang w:val="en-US" w:eastAsia="zh-CN"/>
        </w:rPr>
        <w:t xml:space="preserve"> </w:t>
      </w:r>
      <w:r>
        <w:rPr>
          <w:rFonts w:hint="eastAsia" w:ascii="黑体" w:hAnsi="黑体" w:eastAsia="黑体"/>
          <w:highlight w:val="none"/>
          <w:lang w:val="en-US" w:eastAsia="zh-CN"/>
        </w:rPr>
        <w:t>c</w:t>
      </w:r>
      <w:r>
        <w:rPr>
          <w:rFonts w:hint="eastAsia" w:ascii="黑体" w:hAnsi="黑体" w:eastAsia="黑体"/>
          <w:highlight w:val="none"/>
        </w:rPr>
        <w:t>omplete medium</w:t>
      </w:r>
    </w:p>
    <w:p w14:paraId="35A60516">
      <w:pPr>
        <w:autoSpaceDE w:val="0"/>
        <w:autoSpaceDN w:val="0"/>
        <w:ind w:firstLine="420" w:firstLineChars="200"/>
        <w:rPr>
          <w:rFonts w:ascii="宋体"/>
        </w:rPr>
      </w:pPr>
      <w:r>
        <w:rPr>
          <w:rFonts w:hint="eastAsia" w:ascii="宋体"/>
        </w:rPr>
        <w:t>含各种添加物，能够满足包括营养缺陷突变型细胞在内的细胞最大限度生长和繁殖需要的培养基。</w:t>
      </w:r>
    </w:p>
    <w:p w14:paraId="427091F0">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rPr>
      </w:pPr>
      <w:bookmarkStart w:id="57" w:name="_Toc77403539"/>
      <w:bookmarkEnd w:id="57"/>
      <w:bookmarkStart w:id="58" w:name="_Toc77403856"/>
      <w:bookmarkEnd w:id="58"/>
    </w:p>
    <w:p w14:paraId="7B80785F">
      <w:pPr>
        <w:spacing w:before="156" w:beforeLines="50" w:after="156" w:afterLines="50"/>
        <w:ind w:firstLine="420" w:firstLineChars="200"/>
        <w:outlineLvl w:val="2"/>
        <w:rPr>
          <w:rFonts w:ascii="黑体" w:eastAsia="黑体"/>
          <w:szCs w:val="21"/>
          <w:highlight w:val="none"/>
        </w:rPr>
      </w:pPr>
      <w:r>
        <w:rPr>
          <w:rFonts w:hint="eastAsia" w:ascii="黑体" w:eastAsia="黑体"/>
          <w:szCs w:val="21"/>
          <w:highlight w:val="none"/>
          <w:lang w:val="en-US" w:eastAsia="zh-CN"/>
        </w:rPr>
        <w:t>蛋白质印迹法</w:t>
      </w:r>
      <w:r>
        <w:rPr>
          <w:rFonts w:ascii="黑体" w:eastAsia="黑体"/>
          <w:szCs w:val="21"/>
          <w:highlight w:val="none"/>
        </w:rPr>
        <w:t xml:space="preserve">  </w:t>
      </w:r>
      <w:r>
        <w:rPr>
          <w:rFonts w:hint="eastAsia" w:ascii="黑体" w:hAnsi="黑体" w:eastAsia="黑体"/>
          <w:highlight w:val="none"/>
          <w:lang w:val="en-US" w:eastAsia="zh-CN"/>
        </w:rPr>
        <w:t>w</w:t>
      </w:r>
      <w:r>
        <w:rPr>
          <w:rFonts w:ascii="黑体" w:hAnsi="黑体" w:eastAsia="黑体"/>
          <w:highlight w:val="none"/>
        </w:rPr>
        <w:t xml:space="preserve">estern </w:t>
      </w:r>
      <w:r>
        <w:rPr>
          <w:rFonts w:hint="eastAsia" w:ascii="黑体" w:hAnsi="黑体" w:eastAsia="黑体"/>
          <w:highlight w:val="none"/>
          <w:lang w:val="en-US" w:eastAsia="zh-CN"/>
        </w:rPr>
        <w:t>b</w:t>
      </w:r>
      <w:r>
        <w:rPr>
          <w:rFonts w:ascii="黑体" w:hAnsi="黑体" w:eastAsia="黑体"/>
          <w:highlight w:val="none"/>
        </w:rPr>
        <w:t>lot</w:t>
      </w:r>
    </w:p>
    <w:p w14:paraId="3AAAC476">
      <w:pPr>
        <w:autoSpaceDE w:val="0"/>
        <w:autoSpaceDN w:val="0"/>
        <w:ind w:firstLine="420" w:firstLineChars="200"/>
        <w:rPr>
          <w:rFonts w:ascii="宋体"/>
        </w:rPr>
      </w:pPr>
      <w:r>
        <w:rPr>
          <w:rFonts w:hint="eastAsia" w:ascii="宋体"/>
        </w:rPr>
        <w:t>蛋白质免疫印迹，将蛋白样本经聚丙烯酰胺凝胶电泳分离后，转移到杂交膜上，通过一抗/二抗复合物对靶蛋白进行特异性检测的方法。</w:t>
      </w:r>
    </w:p>
    <w:p w14:paraId="48153FCC">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rPr>
      </w:pPr>
      <w:bookmarkStart w:id="59" w:name="_Toc77403860"/>
      <w:bookmarkEnd w:id="59"/>
      <w:bookmarkStart w:id="60" w:name="_Toc77403541"/>
      <w:bookmarkEnd w:id="60"/>
      <w:bookmarkStart w:id="61" w:name="_Toc77403858"/>
      <w:bookmarkEnd w:id="61"/>
      <w:bookmarkStart w:id="62" w:name="_Toc77403543"/>
      <w:bookmarkEnd w:id="62"/>
      <w:bookmarkStart w:id="63" w:name="_Toc519838718"/>
      <w:bookmarkEnd w:id="63"/>
    </w:p>
    <w:p w14:paraId="1FB5048F">
      <w:pPr>
        <w:spacing w:before="156" w:beforeLines="50" w:after="156" w:afterLines="50"/>
        <w:ind w:firstLine="420" w:firstLineChars="200"/>
        <w:outlineLvl w:val="2"/>
        <w:rPr>
          <w:rFonts w:ascii="黑体" w:eastAsia="黑体"/>
          <w:szCs w:val="21"/>
        </w:rPr>
      </w:pPr>
      <w:r>
        <w:rPr>
          <w:rFonts w:hint="eastAsia" w:ascii="黑体" w:eastAsia="黑体"/>
          <w:szCs w:val="21"/>
        </w:rPr>
        <w:t xml:space="preserve">聚合酶链式反应 </w:t>
      </w:r>
      <w:r>
        <w:rPr>
          <w:rFonts w:ascii="黑体" w:eastAsia="黑体"/>
          <w:szCs w:val="21"/>
        </w:rPr>
        <w:t xml:space="preserve"> </w:t>
      </w:r>
      <w:r>
        <w:rPr>
          <w:rFonts w:hint="eastAsia" w:ascii="黑体" w:eastAsia="黑体"/>
          <w:szCs w:val="21"/>
          <w:lang w:val="en-US" w:eastAsia="zh-CN"/>
        </w:rPr>
        <w:t>p</w:t>
      </w:r>
      <w:r>
        <w:rPr>
          <w:rFonts w:hint="eastAsia" w:ascii="黑体" w:eastAsia="黑体"/>
          <w:szCs w:val="21"/>
        </w:rPr>
        <w:t xml:space="preserve">olymerase </w:t>
      </w:r>
      <w:r>
        <w:rPr>
          <w:rFonts w:hint="eastAsia" w:ascii="黑体" w:eastAsia="黑体"/>
          <w:szCs w:val="21"/>
          <w:lang w:val="en-US" w:eastAsia="zh-CN"/>
        </w:rPr>
        <w:t>c</w:t>
      </w:r>
      <w:r>
        <w:rPr>
          <w:rFonts w:hint="eastAsia" w:ascii="黑体" w:eastAsia="黑体"/>
          <w:szCs w:val="21"/>
        </w:rPr>
        <w:t xml:space="preserve">hain </w:t>
      </w:r>
      <w:r>
        <w:rPr>
          <w:rFonts w:hint="eastAsia" w:ascii="黑体" w:eastAsia="黑体"/>
          <w:szCs w:val="21"/>
          <w:lang w:val="en-US" w:eastAsia="zh-CN"/>
        </w:rPr>
        <w:t>r</w:t>
      </w:r>
      <w:r>
        <w:rPr>
          <w:rFonts w:hint="eastAsia" w:ascii="黑体" w:eastAsia="黑体"/>
          <w:szCs w:val="21"/>
        </w:rPr>
        <w:t>eaction</w:t>
      </w:r>
    </w:p>
    <w:p w14:paraId="2189C393">
      <w:pPr>
        <w:autoSpaceDE w:val="0"/>
        <w:autoSpaceDN w:val="0"/>
        <w:ind w:firstLine="420" w:firstLineChars="200"/>
        <w:rPr>
          <w:rFonts w:hint="eastAsia" w:ascii="宋体" w:eastAsia="宋体"/>
          <w:lang w:val="en-US" w:eastAsia="zh-CN"/>
        </w:rPr>
      </w:pPr>
      <w:r>
        <w:rPr>
          <w:rFonts w:hint="eastAsia" w:ascii="宋体"/>
        </w:rPr>
        <w:t>以一段DNA为模板，在DNA聚合酶和核苷酸底物共同参与下，将该段DNA进行扩增</w:t>
      </w:r>
      <w:r>
        <w:rPr>
          <w:rFonts w:hint="eastAsia" w:ascii="宋体"/>
          <w:lang w:eastAsia="zh-CN"/>
        </w:rPr>
        <w:t>。</w:t>
      </w:r>
    </w:p>
    <w:p w14:paraId="2DF38344">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rPr>
      </w:pPr>
    </w:p>
    <w:p w14:paraId="6B932DB2">
      <w:pPr>
        <w:spacing w:before="156" w:beforeLines="50" w:after="156" w:afterLines="50"/>
        <w:ind w:firstLine="420" w:firstLineChars="200"/>
        <w:outlineLvl w:val="2"/>
        <w:rPr>
          <w:rFonts w:ascii="黑体" w:eastAsia="黑体"/>
          <w:szCs w:val="21"/>
          <w:highlight w:val="none"/>
        </w:rPr>
      </w:pPr>
      <w:r>
        <w:rPr>
          <w:rFonts w:hint="eastAsia" w:ascii="黑体" w:eastAsia="黑体"/>
          <w:szCs w:val="21"/>
        </w:rPr>
        <w:t xml:space="preserve">琼脂糖凝胶电泳 </w:t>
      </w:r>
      <w:r>
        <w:rPr>
          <w:rFonts w:ascii="黑体" w:eastAsia="黑体"/>
          <w:szCs w:val="21"/>
          <w:highlight w:val="none"/>
        </w:rPr>
        <w:t xml:space="preserve"> </w:t>
      </w:r>
      <w:r>
        <w:rPr>
          <w:rFonts w:hint="eastAsia" w:ascii="黑体" w:eastAsia="黑体"/>
          <w:szCs w:val="21"/>
          <w:highlight w:val="none"/>
          <w:lang w:val="en-US" w:eastAsia="zh-CN"/>
        </w:rPr>
        <w:t>p</w:t>
      </w:r>
      <w:r>
        <w:rPr>
          <w:rFonts w:hint="eastAsia" w:ascii="黑体" w:eastAsia="黑体"/>
          <w:szCs w:val="21"/>
          <w:highlight w:val="none"/>
        </w:rPr>
        <w:t xml:space="preserve">olymerase </w:t>
      </w:r>
      <w:r>
        <w:rPr>
          <w:rFonts w:hint="eastAsia" w:ascii="黑体" w:eastAsia="黑体"/>
          <w:szCs w:val="21"/>
          <w:highlight w:val="none"/>
          <w:lang w:val="en-US" w:eastAsia="zh-CN"/>
        </w:rPr>
        <w:t>c</w:t>
      </w:r>
      <w:r>
        <w:rPr>
          <w:rFonts w:hint="eastAsia" w:ascii="黑体" w:eastAsia="黑体"/>
          <w:szCs w:val="21"/>
          <w:highlight w:val="none"/>
        </w:rPr>
        <w:t xml:space="preserve">hain </w:t>
      </w:r>
      <w:r>
        <w:rPr>
          <w:rFonts w:hint="eastAsia" w:ascii="黑体" w:eastAsia="黑体"/>
          <w:szCs w:val="21"/>
          <w:highlight w:val="none"/>
          <w:lang w:val="en-US" w:eastAsia="zh-CN"/>
        </w:rPr>
        <w:t>r</w:t>
      </w:r>
      <w:r>
        <w:rPr>
          <w:rFonts w:hint="eastAsia" w:ascii="黑体" w:eastAsia="黑体"/>
          <w:szCs w:val="21"/>
          <w:highlight w:val="none"/>
        </w:rPr>
        <w:t>eaction</w:t>
      </w:r>
    </w:p>
    <w:p w14:paraId="6AB36632">
      <w:pPr>
        <w:autoSpaceDE w:val="0"/>
        <w:autoSpaceDN w:val="0"/>
        <w:ind w:firstLine="420" w:firstLineChars="200"/>
        <w:rPr>
          <w:rFonts w:ascii="宋体"/>
          <w:highlight w:val="none"/>
        </w:rPr>
      </w:pPr>
      <w:r>
        <w:rPr>
          <w:rFonts w:hint="eastAsia" w:ascii="宋体"/>
          <w:highlight w:val="none"/>
        </w:rPr>
        <w:t>用琼脂糖作支持介质，根据核酸片段大小进行分离的电泳方法。</w:t>
      </w:r>
    </w:p>
    <w:p w14:paraId="268A3DF1">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highlight w:val="none"/>
        </w:rPr>
      </w:pPr>
    </w:p>
    <w:p w14:paraId="7277EE43">
      <w:pPr>
        <w:spacing w:before="156" w:beforeLines="50" w:after="156" w:afterLines="50"/>
        <w:ind w:firstLine="420" w:firstLineChars="200"/>
        <w:outlineLvl w:val="2"/>
        <w:rPr>
          <w:rFonts w:ascii="黑体" w:eastAsia="黑体"/>
          <w:szCs w:val="21"/>
          <w:highlight w:val="none"/>
        </w:rPr>
      </w:pPr>
      <w:r>
        <w:rPr>
          <w:rFonts w:hint="eastAsia" w:ascii="黑体" w:eastAsia="黑体"/>
          <w:szCs w:val="21"/>
          <w:highlight w:val="none"/>
        </w:rPr>
        <w:t xml:space="preserve">实时荧光定量PCR </w:t>
      </w:r>
      <w:r>
        <w:rPr>
          <w:rFonts w:ascii="黑体" w:eastAsia="黑体"/>
          <w:szCs w:val="21"/>
          <w:highlight w:val="none"/>
        </w:rPr>
        <w:t xml:space="preserve"> </w:t>
      </w:r>
      <w:r>
        <w:rPr>
          <w:rFonts w:hint="eastAsia" w:ascii="黑体" w:eastAsia="黑体"/>
          <w:szCs w:val="21"/>
          <w:highlight w:val="none"/>
          <w:lang w:val="en-US" w:eastAsia="zh-CN"/>
        </w:rPr>
        <w:t>q</w:t>
      </w:r>
      <w:r>
        <w:rPr>
          <w:rFonts w:hint="eastAsia" w:ascii="黑体" w:eastAsia="黑体"/>
          <w:szCs w:val="21"/>
          <w:highlight w:val="none"/>
        </w:rPr>
        <w:t xml:space="preserve">uantitative </w:t>
      </w:r>
      <w:r>
        <w:rPr>
          <w:rFonts w:hint="eastAsia" w:ascii="黑体" w:eastAsia="黑体"/>
          <w:szCs w:val="21"/>
          <w:highlight w:val="none"/>
          <w:lang w:val="en-US" w:eastAsia="zh-CN"/>
        </w:rPr>
        <w:t>r</w:t>
      </w:r>
      <w:r>
        <w:rPr>
          <w:rFonts w:hint="eastAsia" w:ascii="黑体" w:eastAsia="黑体"/>
          <w:szCs w:val="21"/>
          <w:highlight w:val="none"/>
        </w:rPr>
        <w:t>eal-time PCR</w:t>
      </w:r>
    </w:p>
    <w:p w14:paraId="3F5FCA96">
      <w:pPr>
        <w:autoSpaceDE w:val="0"/>
        <w:autoSpaceDN w:val="0"/>
        <w:ind w:firstLine="420" w:firstLineChars="200"/>
        <w:rPr>
          <w:rFonts w:hint="eastAsia" w:ascii="宋体"/>
        </w:rPr>
      </w:pPr>
      <w:r>
        <w:rPr>
          <w:rFonts w:hint="eastAsia" w:ascii="宋体"/>
          <w:highlight w:val="none"/>
        </w:rPr>
        <w:t>将特定的DNA片段进行体外扩增与利用荧光信号积累实</w:t>
      </w:r>
      <w:r>
        <w:rPr>
          <w:rFonts w:hint="eastAsia" w:ascii="宋体"/>
        </w:rPr>
        <w:t>时检测和定量扩增过程中特定PCR产物相结合的聚合酶链式反应过程。</w:t>
      </w:r>
    </w:p>
    <w:p w14:paraId="010EF792">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缩略语</w:t>
      </w:r>
    </w:p>
    <w:p w14:paraId="5B8CC92E">
      <w:pPr>
        <w:pStyle w:val="24"/>
        <w:keepNext w:val="0"/>
        <w:keepLines w:val="0"/>
        <w:pageBreakBefore w:val="0"/>
        <w:widowControl/>
        <w:kinsoku/>
        <w:wordWrap/>
        <w:overflowPunct/>
        <w:topLinePunct w:val="0"/>
        <w:autoSpaceDE w:val="0"/>
        <w:autoSpaceDN w:val="0"/>
        <w:bidi w:val="0"/>
        <w:adjustRightInd/>
        <w:snapToGrid/>
        <w:textAlignment w:val="auto"/>
      </w:pPr>
      <w:r>
        <w:rPr>
          <w:rFonts w:hint="eastAsia"/>
          <w:lang w:val="en-US" w:eastAsia="zh-CN"/>
        </w:rPr>
        <w:t>下列缩略语适用于本文件</w:t>
      </w:r>
      <w:r>
        <w:rPr>
          <w:rFonts w:hint="eastAsia"/>
        </w:rPr>
        <w:t>。</w:t>
      </w:r>
    </w:p>
    <w:p w14:paraId="61F31732">
      <w:pPr>
        <w:ind w:firstLine="420" w:firstLineChars="200"/>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DNA：脱氧核糖核酸（deoxyribonucleic acid）</w:t>
      </w:r>
    </w:p>
    <w:p w14:paraId="6CABBA6F">
      <w:pPr>
        <w:ind w:firstLine="420" w:firstLineChars="200"/>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PCR：聚合酶链式反应</w:t>
      </w:r>
      <w:r>
        <w:rPr>
          <w:rFonts w:hint="eastAsia" w:ascii="宋体" w:cs="Times New Roman"/>
          <w:kern w:val="0"/>
          <w:sz w:val="21"/>
          <w:szCs w:val="20"/>
          <w:lang w:val="en-US" w:eastAsia="zh-CN" w:bidi="ar-SA"/>
        </w:rPr>
        <w:t>（polymerase chain reaction）</w:t>
      </w:r>
    </w:p>
    <w:p w14:paraId="576B0F20">
      <w:pPr>
        <w:ind w:firstLine="420" w:firstLineChars="200"/>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PBS：磷酸盐缓冲液</w:t>
      </w:r>
      <w:r>
        <w:rPr>
          <w:rFonts w:hint="eastAsia" w:ascii="宋体" w:cs="Times New Roman"/>
          <w:kern w:val="0"/>
          <w:sz w:val="21"/>
          <w:szCs w:val="20"/>
          <w:lang w:val="en-US" w:eastAsia="zh-CN" w:bidi="ar-SA"/>
        </w:rPr>
        <w:t>（Phosphate Buffered Saline）</w:t>
      </w:r>
    </w:p>
    <w:p w14:paraId="0813A3CC">
      <w:pPr>
        <w:ind w:firstLine="420" w:firstLineChars="200"/>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FP：</w:t>
      </w:r>
      <w:r>
        <w:rPr>
          <w:rFonts w:hint="eastAsia" w:ascii="宋体" w:cs="Times New Roman"/>
          <w:kern w:val="0"/>
          <w:sz w:val="21"/>
          <w:szCs w:val="20"/>
          <w:lang w:val="en-US" w:eastAsia="zh-CN" w:bidi="ar-SA"/>
        </w:rPr>
        <w:t>正向引物（</w:t>
      </w:r>
      <w:r>
        <w:rPr>
          <w:rFonts w:hint="eastAsia" w:ascii="宋体" w:hAnsi="Times New Roman" w:eastAsia="宋体" w:cs="Times New Roman"/>
          <w:kern w:val="0"/>
          <w:sz w:val="21"/>
          <w:szCs w:val="20"/>
          <w:lang w:val="en-US" w:eastAsia="zh-CN" w:bidi="ar-SA"/>
        </w:rPr>
        <w:t>forward primer</w:t>
      </w:r>
      <w:r>
        <w:rPr>
          <w:rFonts w:hint="eastAsia" w:ascii="宋体" w:cs="Times New Roman"/>
          <w:kern w:val="0"/>
          <w:sz w:val="21"/>
          <w:szCs w:val="20"/>
          <w:lang w:val="en-US" w:eastAsia="zh-CN" w:bidi="ar-SA"/>
        </w:rPr>
        <w:t>）</w:t>
      </w:r>
    </w:p>
    <w:p w14:paraId="59EF1A12">
      <w:pPr>
        <w:ind w:firstLine="420" w:firstLineChars="200"/>
        <w:rPr>
          <w:rFonts w:hint="eastAsia" w:ascii="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RP：</w:t>
      </w:r>
      <w:r>
        <w:rPr>
          <w:rFonts w:hint="eastAsia" w:ascii="宋体" w:cs="Times New Roman"/>
          <w:kern w:val="0"/>
          <w:sz w:val="21"/>
          <w:szCs w:val="20"/>
          <w:lang w:val="en-US" w:eastAsia="zh-CN" w:bidi="ar-SA"/>
        </w:rPr>
        <w:t>反向引物（</w:t>
      </w:r>
      <w:r>
        <w:rPr>
          <w:rFonts w:hint="eastAsia" w:ascii="宋体" w:hAnsi="Times New Roman" w:eastAsia="宋体" w:cs="Times New Roman"/>
          <w:kern w:val="0"/>
          <w:sz w:val="21"/>
          <w:szCs w:val="20"/>
          <w:lang w:val="en-US" w:eastAsia="zh-CN" w:bidi="ar-SA"/>
        </w:rPr>
        <w:t>reverse primer</w:t>
      </w:r>
      <w:r>
        <w:rPr>
          <w:rFonts w:hint="eastAsia" w:ascii="宋体" w:cs="Times New Roman"/>
          <w:kern w:val="0"/>
          <w:sz w:val="21"/>
          <w:szCs w:val="20"/>
          <w:lang w:val="en-US" w:eastAsia="zh-CN" w:bidi="ar-SA"/>
        </w:rPr>
        <w:t>）</w:t>
      </w:r>
    </w:p>
    <w:p w14:paraId="20A75D42">
      <w:pPr>
        <w:ind w:firstLine="420" w:firstLineChars="200"/>
        <w:rPr>
          <w:rFonts w:hint="eastAsia" w:ascii="宋体"/>
        </w:rPr>
      </w:pPr>
      <w:r>
        <w:rPr>
          <w:rFonts w:hint="eastAsia" w:ascii="宋体" w:hAnsi="Times New Roman" w:eastAsia="宋体" w:cs="Times New Roman"/>
          <w:kern w:val="0"/>
          <w:sz w:val="21"/>
          <w:szCs w:val="20"/>
          <w:lang w:val="en-US" w:eastAsia="zh-CN" w:bidi="ar-SA"/>
        </w:rPr>
        <w:t>H2O：水</w:t>
      </w:r>
    </w:p>
    <w:p w14:paraId="0F97B8EA">
      <w:pPr>
        <w:pStyle w:val="47"/>
        <w:numPr>
          <w:ilvl w:val="0"/>
          <w:numId w:val="18"/>
        </w:numPr>
        <w:spacing w:before="312" w:after="312"/>
      </w:pPr>
      <w:bookmarkStart w:id="64" w:name="_Toc9664"/>
      <w:r>
        <w:rPr>
          <w:rFonts w:hint="eastAsia"/>
          <w:lang w:val="en-US" w:eastAsia="zh-CN"/>
        </w:rPr>
        <w:t>原理</w:t>
      </w:r>
      <w:bookmarkEnd w:id="64"/>
    </w:p>
    <w:p w14:paraId="23472A02">
      <w:pPr>
        <w:pStyle w:val="24"/>
      </w:pPr>
      <w:r>
        <w:rPr>
          <w:rFonts w:hint="eastAsia"/>
        </w:rPr>
        <w:t>将DNA编码化合物库与目标细胞进行孵育，使目标DNA编码化合物与目标蛋白结合形成复合物，裂解细胞后收集与目标蛋白结合的DNA编码化合物，通过目标DNA编码化合物的DNA序列信息，确定结合目标蛋白的化合物信息，实现无须配体的活细胞筛选。</w:t>
      </w:r>
    </w:p>
    <w:p w14:paraId="64FBC39D">
      <w:pPr>
        <w:pStyle w:val="47"/>
        <w:numPr>
          <w:ilvl w:val="0"/>
          <w:numId w:val="18"/>
        </w:numPr>
        <w:spacing w:before="312" w:after="312"/>
      </w:pPr>
      <w:bookmarkStart w:id="65" w:name="_Toc10607"/>
      <w:r>
        <w:rPr>
          <w:rFonts w:hint="eastAsia"/>
          <w:lang w:val="en-US" w:eastAsia="zh-CN"/>
        </w:rPr>
        <w:t>试剂和材料</w:t>
      </w:r>
      <w:bookmarkEnd w:id="65"/>
    </w:p>
    <w:p w14:paraId="4F7D811E">
      <w:pPr>
        <w:ind w:firstLine="420" w:firstLineChars="200"/>
      </w:pPr>
      <w:r>
        <w:rPr>
          <w:rFonts w:hint="eastAsia"/>
        </w:rPr>
        <w:t>本标准所使用的水均为一级水，符合GB/T 6682-2008分析实验室用水规格和实验方法的要求。</w:t>
      </w:r>
    </w:p>
    <w:p w14:paraId="437C2F4F">
      <w:pPr>
        <w:numPr>
          <w:ilvl w:val="1"/>
          <w:numId w:val="18"/>
        </w:numPr>
        <w:spacing w:before="156" w:beforeLines="50" w:after="156" w:afterLines="50"/>
        <w:ind w:left="0"/>
        <w:outlineLvl w:val="2"/>
        <w:rPr>
          <w:rFonts w:ascii="宋体"/>
        </w:rPr>
      </w:pPr>
      <w:r>
        <w:rPr>
          <w:rFonts w:hint="eastAsia" w:ascii="黑体" w:eastAsia="黑体"/>
          <w:szCs w:val="21"/>
        </w:rPr>
        <w:t>基础培养基</w:t>
      </w:r>
    </w:p>
    <w:p w14:paraId="213743D0">
      <w:pPr>
        <w:numPr>
          <w:ilvl w:val="1"/>
          <w:numId w:val="18"/>
        </w:numPr>
        <w:spacing w:before="156" w:beforeLines="50" w:after="156" w:afterLines="50"/>
        <w:ind w:left="0"/>
        <w:outlineLvl w:val="2"/>
        <w:rPr>
          <w:rFonts w:ascii="黑体" w:eastAsia="黑体"/>
          <w:szCs w:val="21"/>
        </w:rPr>
      </w:pPr>
      <w:r>
        <w:rPr>
          <w:rFonts w:hint="eastAsia" w:ascii="黑体" w:eastAsia="黑体"/>
          <w:szCs w:val="21"/>
        </w:rPr>
        <w:t>完全培养基</w:t>
      </w:r>
    </w:p>
    <w:p w14:paraId="07EF1F74">
      <w:pPr>
        <w:numPr>
          <w:ilvl w:val="1"/>
          <w:numId w:val="18"/>
        </w:numPr>
        <w:spacing w:before="156" w:beforeLines="50" w:after="156" w:afterLines="50"/>
        <w:ind w:left="0"/>
        <w:outlineLvl w:val="2"/>
        <w:rPr>
          <w:rFonts w:ascii="黑体" w:eastAsia="黑体"/>
          <w:szCs w:val="21"/>
        </w:rPr>
      </w:pPr>
      <w:r>
        <w:rPr>
          <w:rFonts w:hint="eastAsia" w:ascii="黑体" w:eastAsia="黑体"/>
          <w:szCs w:val="21"/>
        </w:rPr>
        <w:t>胰酶</w:t>
      </w:r>
    </w:p>
    <w:p w14:paraId="49210CB8">
      <w:pPr>
        <w:numPr>
          <w:ilvl w:val="1"/>
          <w:numId w:val="18"/>
        </w:numPr>
        <w:spacing w:before="156" w:beforeLines="50" w:after="156" w:afterLines="50"/>
        <w:ind w:left="0"/>
        <w:outlineLvl w:val="2"/>
        <w:rPr>
          <w:rFonts w:ascii="黑体" w:eastAsia="黑体"/>
          <w:szCs w:val="21"/>
        </w:rPr>
      </w:pPr>
      <w:r>
        <w:rPr>
          <w:rFonts w:hint="eastAsia" w:ascii="黑体" w:eastAsia="黑体"/>
          <w:szCs w:val="21"/>
        </w:rPr>
        <w:t>PBS</w:t>
      </w:r>
    </w:p>
    <w:p w14:paraId="685B1F6B">
      <w:pPr>
        <w:numPr>
          <w:ilvl w:val="1"/>
          <w:numId w:val="18"/>
        </w:numPr>
        <w:spacing w:before="156" w:beforeLines="50" w:after="156" w:afterLines="50"/>
        <w:ind w:left="0"/>
        <w:outlineLvl w:val="2"/>
        <w:rPr>
          <w:rFonts w:ascii="黑体" w:eastAsia="黑体"/>
          <w:szCs w:val="21"/>
        </w:rPr>
      </w:pPr>
      <w:r>
        <w:rPr>
          <w:rFonts w:hint="eastAsia" w:ascii="黑体" w:eastAsia="黑体"/>
          <w:szCs w:val="21"/>
        </w:rPr>
        <w:t>NEB Next® Ultra™ II Q5® Master Mix</w:t>
      </w:r>
    </w:p>
    <w:p w14:paraId="0ABE9D6C">
      <w:pPr>
        <w:numPr>
          <w:ilvl w:val="1"/>
          <w:numId w:val="18"/>
        </w:numPr>
        <w:spacing w:before="156" w:beforeLines="50" w:after="156" w:afterLines="50"/>
        <w:ind w:left="0"/>
        <w:outlineLvl w:val="2"/>
        <w:rPr>
          <w:rFonts w:ascii="黑体" w:eastAsia="黑体"/>
          <w:szCs w:val="21"/>
        </w:rPr>
      </w:pPr>
      <w:r>
        <w:rPr>
          <w:rFonts w:hint="eastAsia" w:ascii="黑体" w:eastAsia="黑体"/>
          <w:szCs w:val="21"/>
        </w:rPr>
        <w:t>胶回收试剂盒</w:t>
      </w:r>
    </w:p>
    <w:p w14:paraId="7C8F5111">
      <w:pPr>
        <w:pStyle w:val="47"/>
        <w:numPr>
          <w:ilvl w:val="0"/>
          <w:numId w:val="18"/>
        </w:numPr>
        <w:spacing w:before="312" w:after="312"/>
      </w:pPr>
      <w:bookmarkStart w:id="66" w:name="_Toc11370"/>
      <w:r>
        <w:rPr>
          <w:rFonts w:hint="eastAsia"/>
          <w:lang w:val="en-US" w:eastAsia="zh-CN"/>
        </w:rPr>
        <w:t>仪器设备</w:t>
      </w:r>
      <w:bookmarkEnd w:id="66"/>
    </w:p>
    <w:p w14:paraId="32ED2A13">
      <w:pPr>
        <w:numPr>
          <w:ilvl w:val="1"/>
          <w:numId w:val="18"/>
        </w:numPr>
        <w:spacing w:before="156" w:beforeLines="50" w:after="156" w:afterLines="50"/>
        <w:ind w:left="0"/>
        <w:outlineLvl w:val="2"/>
        <w:rPr>
          <w:rFonts w:ascii="宋体"/>
        </w:rPr>
      </w:pPr>
      <w:r>
        <w:rPr>
          <w:rFonts w:hint="eastAsia" w:ascii="黑体" w:eastAsia="黑体"/>
          <w:szCs w:val="21"/>
        </w:rPr>
        <w:t>细胞培养箱</w:t>
      </w:r>
    </w:p>
    <w:p w14:paraId="7B2208B3">
      <w:pPr>
        <w:numPr>
          <w:ilvl w:val="1"/>
          <w:numId w:val="18"/>
        </w:numPr>
        <w:spacing w:before="156" w:beforeLines="50" w:after="156" w:afterLines="50"/>
        <w:ind w:left="0"/>
        <w:outlineLvl w:val="2"/>
        <w:rPr>
          <w:rFonts w:ascii="宋体"/>
        </w:rPr>
      </w:pPr>
      <w:r>
        <w:rPr>
          <w:rFonts w:hint="eastAsia" w:ascii="宋体"/>
        </w:rPr>
        <w:t>细胞计数仪</w:t>
      </w:r>
    </w:p>
    <w:p w14:paraId="69ED91D3">
      <w:pPr>
        <w:numPr>
          <w:ilvl w:val="1"/>
          <w:numId w:val="18"/>
        </w:numPr>
        <w:spacing w:before="156" w:beforeLines="50" w:after="156" w:afterLines="50"/>
        <w:ind w:left="0"/>
        <w:outlineLvl w:val="2"/>
        <w:rPr>
          <w:rFonts w:ascii="宋体"/>
        </w:rPr>
      </w:pPr>
      <w:r>
        <w:rPr>
          <w:rFonts w:hint="eastAsia" w:ascii="宋体"/>
        </w:rPr>
        <w:t>生物安全柜</w:t>
      </w:r>
    </w:p>
    <w:p w14:paraId="1D595565">
      <w:pPr>
        <w:numPr>
          <w:ilvl w:val="1"/>
          <w:numId w:val="18"/>
        </w:numPr>
        <w:spacing w:before="156" w:beforeLines="50" w:after="156" w:afterLines="50"/>
        <w:ind w:left="0"/>
        <w:outlineLvl w:val="2"/>
        <w:rPr>
          <w:rFonts w:ascii="宋体"/>
        </w:rPr>
      </w:pPr>
      <w:r>
        <w:rPr>
          <w:rFonts w:hint="eastAsia" w:ascii="宋体"/>
        </w:rPr>
        <w:t>水平电泳仪</w:t>
      </w:r>
    </w:p>
    <w:p w14:paraId="31D3DC09">
      <w:pPr>
        <w:numPr>
          <w:ilvl w:val="1"/>
          <w:numId w:val="18"/>
        </w:numPr>
        <w:spacing w:before="156" w:beforeLines="50" w:after="156" w:afterLines="50"/>
        <w:ind w:left="0"/>
        <w:outlineLvl w:val="2"/>
        <w:rPr>
          <w:rFonts w:ascii="宋体"/>
        </w:rPr>
      </w:pPr>
      <w:r>
        <w:rPr>
          <w:rFonts w:hint="eastAsia" w:ascii="宋体"/>
        </w:rPr>
        <w:t>垂直电泳仪</w:t>
      </w:r>
    </w:p>
    <w:p w14:paraId="34CA1E6B">
      <w:pPr>
        <w:numPr>
          <w:ilvl w:val="1"/>
          <w:numId w:val="18"/>
        </w:numPr>
        <w:spacing w:before="156" w:beforeLines="50" w:after="156" w:afterLines="50"/>
        <w:ind w:left="0"/>
        <w:outlineLvl w:val="2"/>
        <w:rPr>
          <w:rFonts w:ascii="宋体"/>
        </w:rPr>
      </w:pPr>
      <w:r>
        <w:rPr>
          <w:rFonts w:hint="eastAsia" w:ascii="宋体"/>
        </w:rPr>
        <w:t>金属浴</w:t>
      </w:r>
    </w:p>
    <w:p w14:paraId="6FFBE678">
      <w:pPr>
        <w:numPr>
          <w:ilvl w:val="1"/>
          <w:numId w:val="18"/>
        </w:numPr>
        <w:spacing w:before="156" w:beforeLines="50" w:after="156" w:afterLines="50"/>
        <w:ind w:left="0"/>
        <w:outlineLvl w:val="2"/>
        <w:rPr>
          <w:rFonts w:ascii="宋体"/>
        </w:rPr>
      </w:pPr>
      <w:r>
        <w:rPr>
          <w:rFonts w:hint="eastAsia" w:ascii="宋体"/>
        </w:rPr>
        <w:t>离心机</w:t>
      </w:r>
    </w:p>
    <w:p w14:paraId="33327C6C">
      <w:pPr>
        <w:numPr>
          <w:ilvl w:val="1"/>
          <w:numId w:val="18"/>
        </w:numPr>
        <w:spacing w:before="156" w:beforeLines="50" w:after="156" w:afterLines="50"/>
        <w:ind w:left="0"/>
        <w:outlineLvl w:val="2"/>
        <w:rPr>
          <w:rFonts w:ascii="宋体"/>
        </w:rPr>
      </w:pPr>
      <w:r>
        <w:rPr>
          <w:rFonts w:hint="eastAsia" w:ascii="宋体"/>
        </w:rPr>
        <w:t>PCR仪</w:t>
      </w:r>
    </w:p>
    <w:p w14:paraId="71B126DB">
      <w:pPr>
        <w:numPr>
          <w:ilvl w:val="1"/>
          <w:numId w:val="18"/>
        </w:numPr>
        <w:spacing w:before="156" w:beforeLines="50" w:after="156" w:afterLines="50"/>
        <w:ind w:left="0"/>
        <w:outlineLvl w:val="2"/>
        <w:rPr>
          <w:rFonts w:ascii="宋体"/>
        </w:rPr>
      </w:pPr>
      <w:r>
        <w:rPr>
          <w:rFonts w:hint="eastAsia" w:ascii="宋体"/>
        </w:rPr>
        <w:t>凝胶成像系统</w:t>
      </w:r>
    </w:p>
    <w:p w14:paraId="160401D1">
      <w:pPr>
        <w:pStyle w:val="47"/>
        <w:numPr>
          <w:ilvl w:val="0"/>
          <w:numId w:val="18"/>
        </w:numPr>
        <w:spacing w:before="312" w:after="312"/>
      </w:pPr>
      <w:bookmarkStart w:id="67" w:name="_Toc31893"/>
      <w:r>
        <w:rPr>
          <w:rFonts w:hint="eastAsia"/>
          <w:lang w:val="en-US" w:eastAsia="zh-CN"/>
        </w:rPr>
        <w:t>筛选步骤</w:t>
      </w:r>
      <w:bookmarkEnd w:id="67"/>
    </w:p>
    <w:p w14:paraId="650EE85C">
      <w:pPr>
        <w:numPr>
          <w:ilvl w:val="1"/>
          <w:numId w:val="18"/>
        </w:numPr>
        <w:spacing w:before="156" w:beforeLines="50" w:after="156" w:afterLines="50"/>
        <w:ind w:left="0"/>
        <w:outlineLvl w:val="2"/>
        <w:rPr>
          <w:rFonts w:hint="eastAsia" w:ascii="黑体" w:eastAsia="黑体"/>
          <w:szCs w:val="21"/>
          <w:lang w:val="en-US" w:eastAsia="zh-CN"/>
        </w:rPr>
      </w:pPr>
      <w:r>
        <w:rPr>
          <w:rFonts w:hint="eastAsia" w:ascii="黑体" w:eastAsia="黑体"/>
          <w:szCs w:val="21"/>
          <w:lang w:val="en-US" w:eastAsia="zh-CN"/>
        </w:rPr>
        <w:t>细胞培养</w:t>
      </w:r>
    </w:p>
    <w:p w14:paraId="4A66CDB1">
      <w:pPr>
        <w:numPr>
          <w:ilvl w:val="2"/>
          <w:numId w:val="18"/>
        </w:numPr>
        <w:outlineLvl w:val="3"/>
        <w:rPr>
          <w:rFonts w:ascii="宋体"/>
          <w:szCs w:val="21"/>
        </w:rPr>
      </w:pPr>
      <w:r>
        <w:rPr>
          <w:rFonts w:hint="eastAsia" w:ascii="宋体"/>
          <w:szCs w:val="21"/>
        </w:rPr>
        <w:t>将细胞复苏于适宜的基础培养基中，置于适宜的细胞培养箱中培养</w:t>
      </w:r>
      <w:r>
        <w:rPr>
          <w:rFonts w:hint="eastAsia" w:ascii="宋体"/>
          <w:szCs w:val="21"/>
          <w:lang w:eastAsia="zh-CN"/>
        </w:rPr>
        <w:t>。</w:t>
      </w:r>
    </w:p>
    <w:p w14:paraId="785843FA">
      <w:pPr>
        <w:numPr>
          <w:ilvl w:val="2"/>
          <w:numId w:val="18"/>
        </w:numPr>
        <w:outlineLvl w:val="3"/>
        <w:rPr>
          <w:rFonts w:ascii="宋体"/>
          <w:szCs w:val="21"/>
        </w:rPr>
      </w:pPr>
      <w:r>
        <w:rPr>
          <w:rFonts w:hint="eastAsia" w:ascii="宋体"/>
          <w:szCs w:val="21"/>
        </w:rPr>
        <w:t>隔天去除基础培养基，加入适宜的完全培养基，继续培养。</w:t>
      </w:r>
    </w:p>
    <w:p w14:paraId="241BA920">
      <w:pPr>
        <w:numPr>
          <w:ilvl w:val="2"/>
          <w:numId w:val="18"/>
        </w:numPr>
        <w:outlineLvl w:val="3"/>
        <w:rPr>
          <w:rFonts w:ascii="宋体"/>
          <w:szCs w:val="21"/>
        </w:rPr>
      </w:pPr>
      <w:r>
        <w:rPr>
          <w:rFonts w:hint="eastAsia" w:ascii="宋体"/>
          <w:szCs w:val="21"/>
        </w:rPr>
        <w:t>细胞生长至约80%密度时，用适当浓度的胰酶消化，800rpm离心3min，收集细胞。</w:t>
      </w:r>
    </w:p>
    <w:p w14:paraId="4D8F4BD1">
      <w:pPr>
        <w:numPr>
          <w:ilvl w:val="2"/>
          <w:numId w:val="18"/>
        </w:numPr>
        <w:outlineLvl w:val="3"/>
        <w:rPr>
          <w:rFonts w:ascii="宋体"/>
          <w:szCs w:val="21"/>
        </w:rPr>
      </w:pPr>
      <w:r>
        <w:rPr>
          <w:rFonts w:hint="eastAsia" w:ascii="Times New Roman" w:hAnsi="Times New Roman" w:cs="Times New Roman"/>
        </w:rPr>
        <w:t>用完全培养基重悬细胞，按适当密度分装至新培养瓶中，继续培养。</w:t>
      </w:r>
    </w:p>
    <w:p w14:paraId="7E85BDBD">
      <w:pPr>
        <w:numPr>
          <w:ilvl w:val="2"/>
          <w:numId w:val="18"/>
        </w:numPr>
        <w:outlineLvl w:val="3"/>
        <w:rPr>
          <w:rFonts w:ascii="宋体"/>
          <w:szCs w:val="21"/>
        </w:rPr>
      </w:pPr>
      <w:r>
        <w:rPr>
          <w:rFonts w:hint="eastAsia" w:ascii="宋体"/>
          <w:szCs w:val="21"/>
        </w:rPr>
        <w:t xml:space="preserve">收集培养后的细胞，按照GB/T 42076.1-2022 </w:t>
      </w:r>
      <w:r>
        <w:rPr>
          <w:rFonts w:hint="eastAsia" w:ascii="宋体"/>
          <w:szCs w:val="21"/>
          <w:lang w:val="en-US" w:eastAsia="zh-CN"/>
        </w:rPr>
        <w:t xml:space="preserve"> </w:t>
      </w:r>
      <w:r>
        <w:rPr>
          <w:rFonts w:hint="eastAsia" w:ascii="宋体"/>
          <w:szCs w:val="21"/>
        </w:rPr>
        <w:t xml:space="preserve">生物技术 </w:t>
      </w:r>
      <w:r>
        <w:rPr>
          <w:rFonts w:hint="eastAsia" w:ascii="宋体"/>
          <w:szCs w:val="21"/>
          <w:lang w:val="en-US" w:eastAsia="zh-CN"/>
        </w:rPr>
        <w:t xml:space="preserve"> </w:t>
      </w:r>
      <w:r>
        <w:rPr>
          <w:rFonts w:hint="eastAsia" w:ascii="宋体"/>
          <w:szCs w:val="21"/>
        </w:rPr>
        <w:t>细胞计数</w:t>
      </w:r>
      <w:r>
        <w:rPr>
          <w:rFonts w:hint="eastAsia" w:ascii="宋体"/>
          <w:szCs w:val="21"/>
          <w:lang w:val="en-US" w:eastAsia="zh-CN"/>
        </w:rPr>
        <w:t xml:space="preserve"> </w:t>
      </w:r>
      <w:r>
        <w:rPr>
          <w:rFonts w:hint="eastAsia" w:ascii="宋体"/>
          <w:szCs w:val="21"/>
        </w:rPr>
        <w:t xml:space="preserve"> 第1部分：细胞计数方法通则执行细胞计数实验。</w:t>
      </w:r>
    </w:p>
    <w:p w14:paraId="714C9020">
      <w:pPr>
        <w:numPr>
          <w:ilvl w:val="1"/>
          <w:numId w:val="18"/>
        </w:numPr>
        <w:spacing w:before="156" w:beforeLines="50" w:after="156" w:afterLines="50"/>
        <w:ind w:left="0"/>
        <w:outlineLvl w:val="2"/>
        <w:rPr>
          <w:rFonts w:ascii="黑体" w:eastAsia="黑体"/>
          <w:szCs w:val="21"/>
        </w:rPr>
      </w:pPr>
      <w:r>
        <w:rPr>
          <w:rFonts w:hint="eastAsia" w:ascii="黑体" w:eastAsia="黑体"/>
          <w:szCs w:val="21"/>
        </w:rPr>
        <w:t>蛋白质印迹法</w:t>
      </w:r>
    </w:p>
    <w:p w14:paraId="4384E116">
      <w:pPr>
        <w:autoSpaceDE w:val="0"/>
        <w:autoSpaceDN w:val="0"/>
        <w:ind w:firstLine="420" w:firstLineChars="200"/>
        <w:rPr>
          <w:rFonts w:hint="eastAsia" w:ascii="宋体"/>
        </w:rPr>
      </w:pPr>
      <w:r>
        <w:rPr>
          <w:rFonts w:hint="eastAsia" w:ascii="宋体"/>
        </w:rPr>
        <w:t xml:space="preserve">按照GB/T 38477-2020 </w:t>
      </w:r>
      <w:r>
        <w:rPr>
          <w:rFonts w:hint="eastAsia" w:ascii="宋体"/>
          <w:lang w:val="en-US" w:eastAsia="zh-CN"/>
        </w:rPr>
        <w:t xml:space="preserve"> </w:t>
      </w:r>
      <w:r>
        <w:rPr>
          <w:rFonts w:hint="eastAsia" w:ascii="宋体"/>
        </w:rPr>
        <w:t xml:space="preserve">基因表达的测定 </w:t>
      </w:r>
      <w:r>
        <w:rPr>
          <w:rFonts w:hint="eastAsia" w:ascii="宋体"/>
          <w:lang w:val="en-US" w:eastAsia="zh-CN"/>
        </w:rPr>
        <w:t xml:space="preserve"> </w:t>
      </w:r>
      <w:r>
        <w:rPr>
          <w:rFonts w:hint="eastAsia" w:ascii="宋体"/>
        </w:rPr>
        <w:t>蛋白印迹法执行。</w:t>
      </w:r>
    </w:p>
    <w:p w14:paraId="3C9667FD">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筛选</w:t>
      </w:r>
    </w:p>
    <w:p w14:paraId="5AAF7AB2">
      <w:pPr>
        <w:numPr>
          <w:ilvl w:val="2"/>
          <w:numId w:val="18"/>
        </w:numPr>
        <w:outlineLvl w:val="3"/>
        <w:rPr>
          <w:rFonts w:ascii="宋体"/>
          <w:szCs w:val="21"/>
        </w:rPr>
      </w:pPr>
      <w:r>
        <w:rPr>
          <w:rFonts w:hint="eastAsia" w:ascii="Times New Roman" w:hAnsi="Times New Roman" w:cs="Times New Roman"/>
        </w:rPr>
        <w:t>收集</w:t>
      </w:r>
      <w:r>
        <w:rPr>
          <w:rFonts w:ascii="Times New Roman" w:hAnsi="Times New Roman" w:cs="Times New Roman"/>
        </w:rPr>
        <w:t>2-3M</w:t>
      </w:r>
      <w:r>
        <w:rPr>
          <w:rFonts w:hint="eastAsia" w:ascii="Times New Roman" w:hAnsi="Times New Roman" w:cs="Times New Roman"/>
        </w:rPr>
        <w:t>细胞，用PBS清洗两遍</w:t>
      </w:r>
      <w:r>
        <w:rPr>
          <w:rFonts w:hint="eastAsia" w:ascii="宋体"/>
          <w:szCs w:val="21"/>
          <w:lang w:eastAsia="zh-CN"/>
        </w:rPr>
        <w:t>。</w:t>
      </w:r>
    </w:p>
    <w:p w14:paraId="18DEC199">
      <w:pPr>
        <w:numPr>
          <w:ilvl w:val="2"/>
          <w:numId w:val="18"/>
        </w:numPr>
        <w:outlineLvl w:val="3"/>
        <w:rPr>
          <w:rFonts w:ascii="宋体"/>
          <w:szCs w:val="21"/>
        </w:rPr>
      </w:pPr>
      <w:r>
        <w:rPr>
          <w:rFonts w:hint="eastAsia" w:ascii="Times New Roman" w:hAnsi="Times New Roman" w:cs="Times New Roman"/>
        </w:rPr>
        <w:t>将DNA编码化合物库与收集的活细胞进行孵育。</w:t>
      </w:r>
    </w:p>
    <w:p w14:paraId="11B0BD9D">
      <w:pPr>
        <w:numPr>
          <w:ilvl w:val="2"/>
          <w:numId w:val="18"/>
        </w:numPr>
        <w:outlineLvl w:val="3"/>
        <w:rPr>
          <w:rFonts w:ascii="宋体"/>
          <w:szCs w:val="21"/>
        </w:rPr>
      </w:pPr>
      <w:r>
        <w:rPr>
          <w:rFonts w:hint="eastAsia" w:ascii="Times New Roman" w:hAnsi="Times New Roman" w:cs="Times New Roman"/>
        </w:rPr>
        <w:t>用PBS充分清洗样品后，置于</w:t>
      </w:r>
      <w:r>
        <w:rPr>
          <w:rFonts w:ascii="Times New Roman" w:hAnsi="Times New Roman" w:cs="Times New Roman"/>
        </w:rPr>
        <w:t>95 °C</w:t>
      </w:r>
      <w:r>
        <w:rPr>
          <w:rFonts w:hint="eastAsia" w:ascii="Times New Roman" w:hAnsi="Times New Roman" w:cs="Times New Roman"/>
        </w:rPr>
        <w:t>金属浴维持</w:t>
      </w:r>
      <w:r>
        <w:rPr>
          <w:rFonts w:ascii="Times New Roman" w:hAnsi="Times New Roman" w:cs="Times New Roman"/>
        </w:rPr>
        <w:t>10 min。</w:t>
      </w:r>
    </w:p>
    <w:p w14:paraId="3A4E41D2">
      <w:pPr>
        <w:numPr>
          <w:ilvl w:val="2"/>
          <w:numId w:val="18"/>
        </w:numPr>
        <w:outlineLvl w:val="3"/>
        <w:rPr>
          <w:rFonts w:ascii="宋体"/>
          <w:szCs w:val="21"/>
        </w:rPr>
      </w:pPr>
      <w:r>
        <w:rPr>
          <w:rFonts w:hint="eastAsia" w:ascii="Times New Roman" w:hAnsi="Times New Roman" w:cs="Times New Roman"/>
        </w:rPr>
        <w:t>将样品置于离心机中，</w:t>
      </w:r>
      <w:r>
        <w:rPr>
          <w:rFonts w:ascii="Times New Roman" w:hAnsi="Times New Roman" w:cs="Times New Roman"/>
        </w:rPr>
        <w:t>13000 rpm 离心10 min，取上清</w:t>
      </w:r>
      <w:r>
        <w:rPr>
          <w:rFonts w:hint="eastAsia" w:cs="Times New Roman"/>
          <w:lang w:eastAsia="zh-CN"/>
        </w:rPr>
        <w:t>。</w:t>
      </w:r>
    </w:p>
    <w:p w14:paraId="76D36267">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PCR</w:t>
      </w:r>
    </w:p>
    <w:p w14:paraId="1C880C56">
      <w:pPr>
        <w:numPr>
          <w:ilvl w:val="0"/>
          <w:numId w:val="0"/>
        </w:numPr>
        <w:spacing w:before="156" w:beforeLines="50" w:after="156" w:afterLines="50"/>
        <w:ind w:leftChars="0"/>
        <w:outlineLvl w:val="2"/>
        <w:rPr>
          <w:rFonts w:hint="eastAsia" w:ascii="黑体" w:eastAsia="宋体"/>
          <w:szCs w:val="21"/>
          <w:lang w:eastAsia="zh-CN"/>
        </w:rPr>
      </w:pPr>
      <w:r>
        <w:rPr>
          <w:rFonts w:hint="eastAsia" w:ascii="Times New Roman" w:hAnsi="Times New Roman" w:cs="Times New Roman"/>
        </w:rPr>
        <w:t>用PCR仪扩增筛选产物</w:t>
      </w:r>
      <w:r>
        <w:rPr>
          <w:rFonts w:hint="eastAsia" w:cs="Times New Roman"/>
          <w:lang w:eastAsia="zh-CN"/>
        </w:rPr>
        <w:t>。</w:t>
      </w:r>
    </w:p>
    <w:p w14:paraId="783C0C18">
      <w:pPr>
        <w:numPr>
          <w:ilvl w:val="2"/>
          <w:numId w:val="18"/>
        </w:numPr>
        <w:outlineLvl w:val="3"/>
        <w:rPr>
          <w:rFonts w:ascii="宋体"/>
          <w:szCs w:val="21"/>
        </w:rPr>
      </w:pPr>
      <w:r>
        <w:rPr>
          <w:rFonts w:hint="eastAsia" w:ascii="宋体"/>
          <w:szCs w:val="21"/>
          <w:lang w:eastAsia="zh-CN"/>
        </w:rPr>
        <w:t>扩增体系：</w:t>
      </w:r>
    </w:p>
    <w:p w14:paraId="2C255F04">
      <w:pPr>
        <w:autoSpaceDE w:val="0"/>
        <w:autoSpaceDN w:val="0"/>
        <w:ind w:firstLine="420" w:firstLineChars="200"/>
        <w:rPr>
          <w:rFonts w:hint="eastAsia" w:ascii="宋体" w:hAnsi="宋体" w:eastAsia="宋体" w:cs="宋体"/>
        </w:rPr>
      </w:pPr>
      <w:r>
        <w:rPr>
          <w:rFonts w:hint="eastAsia" w:ascii="宋体" w:hAnsi="宋体" w:eastAsia="宋体" w:cs="宋体"/>
        </w:rPr>
        <w:t>a）NEB Next® Ultra™ II Q5® Master Mix         25μL</w:t>
      </w:r>
    </w:p>
    <w:p w14:paraId="7F0BC589">
      <w:pPr>
        <w:autoSpaceDE w:val="0"/>
        <w:autoSpaceDN w:val="0"/>
        <w:ind w:firstLine="420" w:firstLineChars="200"/>
        <w:rPr>
          <w:rFonts w:hint="eastAsia" w:ascii="宋体" w:hAnsi="宋体" w:eastAsia="宋体" w:cs="宋体"/>
        </w:rPr>
      </w:pPr>
      <w:r>
        <w:rPr>
          <w:rFonts w:hint="eastAsia" w:ascii="宋体" w:hAnsi="宋体" w:eastAsia="宋体" w:cs="宋体"/>
        </w:rPr>
        <w:t xml:space="preserve">b）FP（5μM）                                5μL </w:t>
      </w:r>
    </w:p>
    <w:p w14:paraId="1266EFFD">
      <w:pPr>
        <w:autoSpaceDE w:val="0"/>
        <w:autoSpaceDN w:val="0"/>
        <w:ind w:firstLine="420" w:firstLineChars="200"/>
        <w:rPr>
          <w:rFonts w:hint="eastAsia" w:ascii="宋体" w:hAnsi="宋体" w:eastAsia="宋体" w:cs="宋体"/>
        </w:rPr>
      </w:pPr>
      <w:r>
        <w:rPr>
          <w:rFonts w:hint="eastAsia" w:ascii="宋体" w:hAnsi="宋体" w:eastAsia="宋体" w:cs="宋体"/>
          <w:lang w:val="en-US" w:eastAsia="zh-CN"/>
        </w:rPr>
        <w:t>c</w:t>
      </w:r>
      <w:r>
        <w:rPr>
          <w:rFonts w:hint="eastAsia" w:ascii="宋体" w:hAnsi="宋体" w:eastAsia="宋体" w:cs="宋体"/>
        </w:rPr>
        <w:t>）RP（5μM）                                5μL</w:t>
      </w:r>
    </w:p>
    <w:p w14:paraId="1D1173F2">
      <w:pPr>
        <w:autoSpaceDE w:val="0"/>
        <w:autoSpaceDN w:val="0"/>
        <w:ind w:firstLine="420" w:firstLineChars="200"/>
        <w:rPr>
          <w:rFonts w:hint="eastAsia" w:ascii="宋体" w:hAnsi="宋体" w:eastAsia="宋体" w:cs="宋体"/>
        </w:rPr>
      </w:pPr>
      <w:r>
        <w:rPr>
          <w:rFonts w:hint="eastAsia" w:ascii="宋体" w:hAnsi="宋体" w:eastAsia="宋体" w:cs="宋体"/>
          <w:lang w:val="en-US" w:eastAsia="zh-CN"/>
        </w:rPr>
        <w:t>d</w:t>
      </w:r>
      <w:r>
        <w:rPr>
          <w:rFonts w:hint="eastAsia" w:ascii="宋体" w:hAnsi="宋体" w:eastAsia="宋体" w:cs="宋体"/>
        </w:rPr>
        <w:t>）筛选产物                                   8μL</w:t>
      </w:r>
    </w:p>
    <w:p w14:paraId="42ED8929">
      <w:pPr>
        <w:autoSpaceDE w:val="0"/>
        <w:autoSpaceDN w:val="0"/>
        <w:ind w:firstLine="420" w:firstLineChars="200"/>
        <w:rPr>
          <w:rFonts w:hint="eastAsia" w:ascii="宋体" w:hAnsi="宋体" w:eastAsia="宋体" w:cs="宋体"/>
        </w:rPr>
      </w:pPr>
      <w:r>
        <w:rPr>
          <w:rFonts w:hint="eastAsia" w:ascii="宋体" w:hAnsi="宋体" w:eastAsia="宋体" w:cs="宋体"/>
          <w:lang w:val="en-US" w:eastAsia="zh-CN"/>
        </w:rPr>
        <w:t>e</w:t>
      </w:r>
      <w:r>
        <w:rPr>
          <w:rFonts w:hint="eastAsia" w:ascii="宋体" w:hAnsi="宋体" w:eastAsia="宋体" w:cs="宋体"/>
        </w:rPr>
        <w:t>）H2O                                       7μL</w:t>
      </w:r>
    </w:p>
    <w:p w14:paraId="64FC8138">
      <w:pPr>
        <w:autoSpaceDE w:val="0"/>
        <w:autoSpaceDN w:val="0"/>
        <w:ind w:firstLine="420" w:firstLineChars="200"/>
        <w:rPr>
          <w:rFonts w:hint="eastAsia" w:ascii="宋体" w:hAnsi="宋体" w:eastAsia="宋体" w:cs="宋体"/>
        </w:rPr>
      </w:pPr>
      <w:r>
        <w:rPr>
          <w:rFonts w:hint="eastAsia" w:ascii="宋体" w:hAnsi="宋体" w:eastAsia="宋体" w:cs="宋体"/>
          <w:lang w:val="en-US" w:eastAsia="zh-CN"/>
        </w:rPr>
        <w:t>f</w:t>
      </w:r>
      <w:r>
        <w:rPr>
          <w:rFonts w:hint="eastAsia" w:ascii="宋体" w:hAnsi="宋体" w:eastAsia="宋体" w:cs="宋体"/>
        </w:rPr>
        <w:t>）Total                                      50μL</w:t>
      </w:r>
    </w:p>
    <w:p w14:paraId="55E304A1">
      <w:pPr>
        <w:numPr>
          <w:ilvl w:val="2"/>
          <w:numId w:val="18"/>
        </w:numPr>
        <w:outlineLvl w:val="3"/>
        <w:rPr>
          <w:rFonts w:ascii="宋体"/>
          <w:szCs w:val="21"/>
        </w:rPr>
      </w:pPr>
      <w:r>
        <w:rPr>
          <w:rFonts w:hint="eastAsia" w:ascii="Times New Roman" w:hAnsi="Times New Roman" w:cs="Times New Roman"/>
        </w:rPr>
        <w:t>扩增程序</w:t>
      </w:r>
      <w:r>
        <w:rPr>
          <w:rFonts w:hint="eastAsia" w:ascii="宋体"/>
          <w:szCs w:val="21"/>
          <w:lang w:eastAsia="zh-CN"/>
        </w:rPr>
        <w:t>。</w:t>
      </w:r>
    </w:p>
    <w:p w14:paraId="4D9E9748">
      <w:pPr>
        <w:pStyle w:val="24"/>
      </w:pPr>
      <w:r>
        <w:rPr>
          <w:rFonts w:hint="eastAsia"/>
        </w:rPr>
        <w:t>a）</w:t>
      </w:r>
      <w:r>
        <w:rPr>
          <w:rFonts w:hint="eastAsia" w:ascii="宋体" w:hAnsi="宋体" w:eastAsia="宋体" w:cs="宋体"/>
        </w:rPr>
        <w:t>92°C 2 min</w:t>
      </w:r>
      <w:r>
        <w:rPr>
          <w:rFonts w:hint="eastAsia"/>
        </w:rPr>
        <w:t>；</w:t>
      </w:r>
    </w:p>
    <w:p w14:paraId="57892F9B">
      <w:pPr>
        <w:pStyle w:val="24"/>
        <w:rPr>
          <w:rFonts w:hint="eastAsia"/>
        </w:rPr>
      </w:pPr>
      <w:r>
        <w:rPr>
          <w:rFonts w:hint="eastAsia"/>
        </w:rPr>
        <w:t>b）</w:t>
      </w:r>
      <w:r>
        <w:rPr>
          <w:rFonts w:hint="eastAsia" w:ascii="宋体" w:hAnsi="宋体" w:eastAsia="宋体" w:cs="宋体"/>
        </w:rPr>
        <w:t>92°C 30s，60°C 1min，72°C 1min，循环29次</w:t>
      </w:r>
      <w:r>
        <w:rPr>
          <w:rFonts w:hint="eastAsia"/>
        </w:rPr>
        <w:t>。</w:t>
      </w:r>
    </w:p>
    <w:p w14:paraId="104D98E5">
      <w:pPr>
        <w:pStyle w:val="24"/>
        <w:rPr>
          <w:rFonts w:hint="default" w:eastAsia="宋体"/>
          <w:lang w:val="en-US" w:eastAsia="zh-CN"/>
        </w:rPr>
      </w:pPr>
      <w:r>
        <w:rPr>
          <w:rFonts w:hint="eastAsia"/>
          <w:lang w:val="en-US" w:eastAsia="zh-CN"/>
        </w:rPr>
        <w:t>c</w:t>
      </w:r>
      <w:r>
        <w:rPr>
          <w:rFonts w:hint="eastAsia"/>
        </w:rPr>
        <w:t>）</w:t>
      </w:r>
      <w:r>
        <w:rPr>
          <w:rFonts w:hint="eastAsia"/>
          <w:lang w:val="en-US" w:eastAsia="zh-CN"/>
        </w:rPr>
        <w:t>72°C 7min</w:t>
      </w:r>
    </w:p>
    <w:p w14:paraId="286D56C4">
      <w:pPr>
        <w:pStyle w:val="24"/>
        <w:rPr>
          <w:rFonts w:hint="eastAsia" w:ascii="宋体" w:hAnsi="宋体" w:eastAsia="宋体" w:cs="宋体"/>
        </w:rPr>
      </w:pPr>
      <w:r>
        <w:rPr>
          <w:rFonts w:hint="eastAsia"/>
          <w:lang w:val="en-US" w:eastAsia="zh-CN"/>
        </w:rPr>
        <w:t>d</w:t>
      </w:r>
      <w:r>
        <w:rPr>
          <w:rFonts w:hint="eastAsia"/>
        </w:rPr>
        <w:t>）</w:t>
      </w:r>
      <w:r>
        <w:rPr>
          <w:rFonts w:hint="eastAsia" w:ascii="宋体" w:hAnsi="宋体" w:eastAsia="宋体" w:cs="宋体"/>
        </w:rPr>
        <w:t>4°C</w:t>
      </w:r>
      <w:r>
        <w:rPr>
          <w:rFonts w:hint="eastAsia" w:hAnsi="宋体" w:cs="宋体"/>
          <w:lang w:val="en-US" w:eastAsia="zh-CN"/>
        </w:rPr>
        <w:t xml:space="preserve"> </w:t>
      </w:r>
      <w:r>
        <w:rPr>
          <w:rFonts w:hint="eastAsia" w:ascii="宋体" w:hAnsi="宋体" w:eastAsia="宋体" w:cs="宋体"/>
        </w:rPr>
        <w:t>forever</w:t>
      </w:r>
    </w:p>
    <w:p w14:paraId="0DB1F54E">
      <w:pPr>
        <w:numPr>
          <w:ilvl w:val="2"/>
          <w:numId w:val="18"/>
        </w:numPr>
        <w:outlineLvl w:val="3"/>
        <w:rPr>
          <w:rFonts w:hint="eastAsia" w:ascii="宋体" w:hAnsi="宋体" w:eastAsia="宋体" w:cs="宋体"/>
        </w:rPr>
      </w:pPr>
      <w:r>
        <w:rPr>
          <w:rFonts w:hint="eastAsia" w:ascii="宋体"/>
          <w:szCs w:val="21"/>
          <w:lang w:eastAsia="zh-CN"/>
        </w:rPr>
        <w:t xml:space="preserve">进行琼脂糖凝胶电泳，按照GB/T 23814-2009 </w:t>
      </w:r>
      <w:r>
        <w:rPr>
          <w:rFonts w:hint="eastAsia" w:ascii="宋体"/>
          <w:szCs w:val="21"/>
          <w:lang w:val="en-US" w:eastAsia="zh-CN"/>
        </w:rPr>
        <w:t xml:space="preserve"> </w:t>
      </w:r>
      <w:r>
        <w:rPr>
          <w:rFonts w:hint="eastAsia" w:ascii="宋体"/>
          <w:szCs w:val="21"/>
          <w:lang w:eastAsia="zh-CN"/>
        </w:rPr>
        <w:t>莲蓉制品中芸豆成分定性PCR检测方法执行。</w:t>
      </w:r>
    </w:p>
    <w:p w14:paraId="4C9F93EB">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胶回收</w:t>
      </w:r>
    </w:p>
    <w:p w14:paraId="58E7636D">
      <w:pPr>
        <w:pStyle w:val="24"/>
        <w:rPr>
          <w:rFonts w:hint="default" w:ascii="宋体" w:hAnsi="宋体" w:eastAsia="宋体" w:cs="宋体"/>
          <w:lang w:val="en-US" w:eastAsia="zh-CN"/>
        </w:rPr>
      </w:pPr>
      <w:r>
        <w:rPr>
          <w:rFonts w:hint="default" w:ascii="宋体" w:hAnsi="宋体" w:eastAsia="宋体" w:cs="宋体"/>
          <w:lang w:val="en-US" w:eastAsia="zh-CN"/>
        </w:rPr>
        <w:t>按照胶回收试剂盒说明进行回收。</w:t>
      </w:r>
    </w:p>
    <w:p w14:paraId="5AE8D33D">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回收浓度测定</w:t>
      </w:r>
    </w:p>
    <w:p w14:paraId="4BD8020F">
      <w:pPr>
        <w:pStyle w:val="24"/>
        <w:rPr>
          <w:rFonts w:hint="default" w:ascii="宋体" w:hAnsi="宋体" w:eastAsia="宋体" w:cs="宋体"/>
          <w:lang w:val="en-US" w:eastAsia="zh-CN"/>
        </w:rPr>
      </w:pPr>
      <w:r>
        <w:rPr>
          <w:rFonts w:hint="default" w:ascii="宋体" w:hAnsi="宋体" w:eastAsia="宋体" w:cs="宋体"/>
          <w:lang w:val="en-US" w:eastAsia="zh-CN"/>
        </w:rPr>
        <w:t>按照GB/T 34796-2017</w:t>
      </w:r>
      <w:r>
        <w:rPr>
          <w:rFonts w:hint="eastAsia" w:hAnsi="宋体" w:cs="宋体"/>
          <w:lang w:val="en-US" w:eastAsia="zh-CN"/>
        </w:rPr>
        <w:t xml:space="preserve"> </w:t>
      </w:r>
      <w:r>
        <w:rPr>
          <w:rFonts w:hint="default" w:ascii="宋体" w:hAnsi="宋体" w:eastAsia="宋体" w:cs="宋体"/>
          <w:lang w:val="en-US" w:eastAsia="zh-CN"/>
        </w:rPr>
        <w:t xml:space="preserve"> 水溶液中核酸的浓度和纯度检测 紫外分光光度法执行。</w:t>
      </w:r>
    </w:p>
    <w:p w14:paraId="296ECE35">
      <w:pPr>
        <w:pStyle w:val="47"/>
        <w:numPr>
          <w:ilvl w:val="0"/>
          <w:numId w:val="18"/>
        </w:numPr>
        <w:spacing w:before="312" w:after="312"/>
      </w:pPr>
      <w:bookmarkStart w:id="68" w:name="_Toc14130"/>
      <w:r>
        <w:rPr>
          <w:rFonts w:hint="eastAsia"/>
          <w:lang w:val="en-US" w:eastAsia="zh-CN"/>
        </w:rPr>
        <w:t>qPCR</w:t>
      </w:r>
      <w:bookmarkEnd w:id="68"/>
    </w:p>
    <w:p w14:paraId="5089B295">
      <w:pPr>
        <w:pStyle w:val="24"/>
        <w:rPr>
          <w:rFonts w:hint="default" w:ascii="宋体" w:hAnsi="宋体" w:eastAsia="宋体" w:cs="宋体"/>
          <w:lang w:val="en-US" w:eastAsia="zh-CN"/>
        </w:rPr>
      </w:pPr>
      <w:r>
        <w:rPr>
          <w:rFonts w:hint="default" w:ascii="宋体" w:hAnsi="宋体" w:eastAsia="宋体" w:cs="宋体"/>
          <w:lang w:val="en-US" w:eastAsia="zh-CN"/>
        </w:rPr>
        <w:t xml:space="preserve">按照GB/T 42077-2022 </w:t>
      </w:r>
      <w:r>
        <w:rPr>
          <w:rFonts w:hint="eastAsia" w:hAnsi="宋体" w:cs="宋体"/>
          <w:lang w:val="en-US" w:eastAsia="zh-CN"/>
        </w:rPr>
        <w:t xml:space="preserve"> </w:t>
      </w:r>
      <w:r>
        <w:rPr>
          <w:rFonts w:hint="default" w:ascii="宋体" w:hAnsi="宋体" w:eastAsia="宋体" w:cs="宋体"/>
          <w:lang w:val="en-US" w:eastAsia="zh-CN"/>
        </w:rPr>
        <w:t xml:space="preserve">生物技术 </w:t>
      </w:r>
      <w:r>
        <w:rPr>
          <w:rFonts w:hint="eastAsia" w:hAnsi="宋体" w:cs="宋体"/>
          <w:lang w:val="en-US" w:eastAsia="zh-CN"/>
        </w:rPr>
        <w:t xml:space="preserve"> </w:t>
      </w:r>
      <w:r>
        <w:rPr>
          <w:rFonts w:hint="default" w:ascii="宋体" w:hAnsi="宋体" w:eastAsia="宋体" w:cs="宋体"/>
          <w:lang w:val="en-US" w:eastAsia="zh-CN"/>
        </w:rPr>
        <w:t>核酸靶序列定量方法的性能评价要求qPCR法和dPCR法执行。</w:t>
      </w:r>
    </w:p>
    <w:p w14:paraId="42AE4060">
      <w:pPr>
        <w:outlineLvl w:val="3"/>
        <w:rPr>
          <w:rFonts w:cs="宋体"/>
        </w:rPr>
      </w:pPr>
      <w:bookmarkStart w:id="69" w:name="_Toc32080"/>
      <w:bookmarkEnd w:id="69"/>
      <w:bookmarkStart w:id="70" w:name="_Toc1904"/>
      <w:bookmarkEnd w:id="70"/>
      <w:bookmarkStart w:id="71" w:name="_Toc10994"/>
      <w:bookmarkEnd w:id="71"/>
      <w:bookmarkStart w:id="72" w:name="_Toc21866"/>
      <w:bookmarkEnd w:id="72"/>
      <w:r>
        <w:rPr>
          <w:sz w:val="21"/>
        </w:rPr>
        <mc:AlternateContent>
          <mc:Choice Requires="wps">
            <w:drawing>
              <wp:anchor distT="0" distB="0" distL="114300" distR="114300" simplePos="0" relativeHeight="251663360" behindDoc="0" locked="0" layoutInCell="1" allowOverlap="1">
                <wp:simplePos x="0" y="0"/>
                <wp:positionH relativeFrom="column">
                  <wp:posOffset>1656715</wp:posOffset>
                </wp:positionH>
                <wp:positionV relativeFrom="paragraph">
                  <wp:posOffset>949325</wp:posOffset>
                </wp:positionV>
                <wp:extent cx="2495550" cy="0"/>
                <wp:effectExtent l="0" t="0" r="0" b="0"/>
                <wp:wrapNone/>
                <wp:docPr id="3" name="直接连接符 3"/>
                <wp:cNvGraphicFramePr/>
                <a:graphic xmlns:a="http://schemas.openxmlformats.org/drawingml/2006/main">
                  <a:graphicData uri="http://schemas.microsoft.com/office/word/2010/wordprocessingShape">
                    <wps:wsp>
                      <wps:cNvCnPr/>
                      <wps:spPr>
                        <a:xfrm>
                          <a:off x="2557145" y="8204835"/>
                          <a:ext cx="2495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30.45pt;margin-top:74.75pt;height:0pt;width:196.5pt;z-index:251663360;mso-width-relative:page;mso-height-relative:page;" filled="f" stroked="t" coordsize="21600,21600" o:gfxdata="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N9CeJ9cA&#10;AAALAQAADwAAAAAAAAABACAAAAAiAAAAZHJzL2Rvd25yZXYueG1sUEsBAhQAFAAAAAgAh07iQChM&#10;h4/nAQAApgMAAA4AAAAAAAAAAQAgAAAAJgEAAGRycy9lMm9Eb2MueG1sUEsFBgAAAAAGAAYAWQEA&#10;AH8FAAAAAA==&#10;">
                <v:fill on="f" focussize="0,0"/>
                <v:stroke color="#000000 [3213]" joinstyle="round"/>
                <v:imagedata o:title=""/>
                <o:lock v:ext="edit" aspectratio="f"/>
              </v:line>
            </w:pict>
          </mc:Fallback>
        </mc:AlternateContent>
      </w:r>
    </w:p>
    <w:sectPr>
      <w:pgSz w:w="11906" w:h="16838"/>
      <w:pgMar w:top="567" w:right="1134" w:bottom="1134" w:left="1418"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8620219"/>
    </w:sdtPr>
    <w:sdtEndPr>
      <w:rPr>
        <w:rFonts w:asciiTheme="minorEastAsia" w:hAnsiTheme="minorEastAsia" w:eastAsiaTheme="minorEastAsia"/>
      </w:rPr>
    </w:sdtEndPr>
    <w:sdtContent>
      <w:p w14:paraId="12CAF6E4">
        <w:pPr>
          <w:pStyle w:val="18"/>
          <w:jc w:val="left"/>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PAGE   \* MERGEFORMAT </w:instrText>
        </w:r>
        <w:r>
          <w:rPr>
            <w:rFonts w:asciiTheme="minorEastAsia" w:hAnsiTheme="minorEastAsia" w:eastAsiaTheme="minorEastAsia"/>
          </w:rPr>
          <w:fldChar w:fldCharType="separate"/>
        </w:r>
        <w:r>
          <w:rPr>
            <w:rFonts w:asciiTheme="minorEastAsia" w:hAnsiTheme="minorEastAsia" w:eastAsiaTheme="minorEastAsia"/>
            <w:lang w:val="zh-CN"/>
          </w:rPr>
          <w:t>4</w:t>
        </w:r>
        <w:r>
          <w:rPr>
            <w:rFonts w:asciiTheme="minorEastAsia" w:hAnsiTheme="minorEastAsia" w:eastAsiaTheme="minorEastAsia"/>
            <w:lang w:val="zh-CN"/>
          </w:rPr>
          <w:fldChar w:fldCharType="end"/>
        </w:r>
      </w:p>
    </w:sdtContent>
  </w:sdt>
  <w:p w14:paraId="78C924D2">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157AB">
    <w:pPr>
      <w:pStyle w:val="45"/>
    </w:pPr>
    <w:r>
      <w:fldChar w:fldCharType="begin"/>
    </w:r>
    <w:r>
      <w:instrText xml:space="preserve"> PAGE  \* MERGEFORMAT </w:instrText>
    </w:r>
    <w:r>
      <w:fldChar w:fldCharType="separate"/>
    </w:r>
    <w:r>
      <w:t>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FF9A6">
    <w:pPr>
      <w:pStyle w:val="71"/>
      <w:rPr>
        <w:rFonts w:hint="default" w:eastAsia="黑体"/>
        <w:lang w:val="en-US" w:eastAsia="zh-CN"/>
      </w:rPr>
    </w:pPr>
    <w:r>
      <w:t>T/</w:t>
    </w:r>
    <w:r>
      <w:rPr>
        <w:rFonts w:hint="eastAsia"/>
      </w:rPr>
      <w:t>SPEMF 00-20</w:t>
    </w:r>
    <w:r>
      <w:rPr>
        <w:rFonts w:hint="eastAsia"/>
        <w:lang w:val="en-US" w:eastAsia="zh-CN"/>
      </w:rPr>
      <w:t>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0CEC8">
    <w:pPr>
      <w:pStyle w:val="46"/>
      <w:wordWrap w:val="0"/>
      <w:rPr>
        <w:rFonts w:hint="default" w:eastAsia="黑体"/>
        <w:lang w:val="en-US" w:eastAsia="zh-CN"/>
      </w:rPr>
    </w:pPr>
    <w:r>
      <w:t>T/</w:t>
    </w:r>
    <w:r>
      <w:rPr>
        <w:rFonts w:hint="eastAsia"/>
        <w:lang w:val="en-US" w:eastAsia="zh-CN"/>
      </w:rPr>
      <w:t>SZLSBA</w:t>
    </w:r>
    <w:r>
      <w:rPr>
        <w:rFonts w:hint="eastAsia"/>
      </w:rPr>
      <w:t xml:space="preserve"> </w:t>
    </w:r>
    <w:r>
      <w:rPr>
        <w:rFonts w:hint="eastAsia"/>
        <w:lang w:val="en-US" w:eastAsia="zh-CN"/>
      </w:rPr>
      <w:t>XX</w:t>
    </w:r>
    <w:r>
      <w:rPr>
        <w:rFonts w:hint="eastAsia"/>
      </w:rPr>
      <w:t>-20</w:t>
    </w:r>
    <w:r>
      <w:rPr>
        <w:rFonts w:hint="eastAsia"/>
        <w:lang w:val="en-US" w:eastAsia="zh-CN"/>
      </w:rPr>
      <w:t>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52887"/>
    <w:multiLevelType w:val="multilevel"/>
    <w:tmpl w:val="0A952887"/>
    <w:lvl w:ilvl="0" w:tentative="0">
      <w:start w:val="1"/>
      <w:numFmt w:val="decimal"/>
      <w:pStyle w:val="67"/>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
    <w:nsid w:val="0F805D97"/>
    <w:multiLevelType w:val="multilevel"/>
    <w:tmpl w:val="0F805D97"/>
    <w:lvl w:ilvl="0" w:tentative="0">
      <w:start w:val="1"/>
      <w:numFmt w:val="none"/>
      <w:pStyle w:val="59"/>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1985"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4B435DB"/>
    <w:multiLevelType w:val="multilevel"/>
    <w:tmpl w:val="24B435DB"/>
    <w:lvl w:ilvl="0" w:tentative="0">
      <w:start w:val="1"/>
      <w:numFmt w:val="lowerLetter"/>
      <w:pStyle w:val="123"/>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29707437"/>
    <w:multiLevelType w:val="multilevel"/>
    <w:tmpl w:val="29707437"/>
    <w:lvl w:ilvl="0" w:tentative="0">
      <w:start w:val="1"/>
      <w:numFmt w:val="none"/>
      <w:pStyle w:val="66"/>
      <w:suff w:val="nothing"/>
      <w:lvlText w:val="%1注："/>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01"/>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pStyle w:val="50"/>
      <w:suff w:val="nothing"/>
      <w:lvlText w:val="%1——"/>
      <w:lvlJc w:val="left"/>
      <w:pPr>
        <w:ind w:left="833" w:hanging="408"/>
      </w:pPr>
      <w:rPr>
        <w:rFonts w:hint="eastAsia"/>
      </w:rPr>
    </w:lvl>
    <w:lvl w:ilvl="1" w:tentative="0">
      <w:start w:val="1"/>
      <w:numFmt w:val="bullet"/>
      <w:pStyle w:val="51"/>
      <w:lvlText w:val=""/>
      <w:lvlJc w:val="left"/>
      <w:pPr>
        <w:tabs>
          <w:tab w:val="left" w:pos="760"/>
        </w:tabs>
        <w:ind w:left="1264" w:hanging="413"/>
      </w:pPr>
      <w:rPr>
        <w:rFonts w:hint="default" w:ascii="Symbol" w:hAnsi="Symbol"/>
        <w:color w:val="auto"/>
      </w:rPr>
    </w:lvl>
    <w:lvl w:ilvl="2" w:tentative="0">
      <w:start w:val="1"/>
      <w:numFmt w:val="bullet"/>
      <w:pStyle w:val="62"/>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0D5856"/>
    <w:multiLevelType w:val="multilevel"/>
    <w:tmpl w:val="3D0D5856"/>
    <w:lvl w:ilvl="0" w:tentative="0">
      <w:start w:val="1"/>
      <w:numFmt w:val="lowerLetter"/>
      <w:pStyle w:val="61"/>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56"/>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3"/>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8">
    <w:nsid w:val="3D733618"/>
    <w:multiLevelType w:val="multilevel"/>
    <w:tmpl w:val="3D733618"/>
    <w:lvl w:ilvl="0" w:tentative="0">
      <w:start w:val="1"/>
      <w:numFmt w:val="decimal"/>
      <w:pStyle w:val="2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520F62E9"/>
    <w:multiLevelType w:val="multilevel"/>
    <w:tmpl w:val="520F62E9"/>
    <w:lvl w:ilvl="0" w:tentative="0">
      <w:start w:val="1"/>
      <w:numFmt w:val="decimal"/>
      <w:pStyle w:val="130"/>
      <w:suff w:val="nothing"/>
      <w:lvlText w:val="图%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5E63562F"/>
    <w:multiLevelType w:val="multilevel"/>
    <w:tmpl w:val="5E63562F"/>
    <w:lvl w:ilvl="0" w:tentative="0">
      <w:start w:val="1"/>
      <w:numFmt w:val="decimal"/>
      <w:pStyle w:val="60"/>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1">
    <w:nsid w:val="60B55DC2"/>
    <w:multiLevelType w:val="multilevel"/>
    <w:tmpl w:val="60B55DC2"/>
    <w:lvl w:ilvl="0" w:tentative="0">
      <w:start w:val="1"/>
      <w:numFmt w:val="upperLetter"/>
      <w:pStyle w:val="88"/>
      <w:lvlText w:val="%1"/>
      <w:lvlJc w:val="left"/>
      <w:pPr>
        <w:tabs>
          <w:tab w:val="left" w:pos="0"/>
        </w:tabs>
        <w:ind w:left="0" w:hanging="425"/>
      </w:pPr>
      <w:rPr>
        <w:rFonts w:hint="eastAsia"/>
      </w:rPr>
    </w:lvl>
    <w:lvl w:ilvl="1" w:tentative="0">
      <w:start w:val="1"/>
      <w:numFmt w:val="decimal"/>
      <w:pStyle w:val="89"/>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2">
    <w:nsid w:val="63404DBE"/>
    <w:multiLevelType w:val="multilevel"/>
    <w:tmpl w:val="63404DBE"/>
    <w:lvl w:ilvl="0" w:tentative="0">
      <w:start w:val="1"/>
      <w:numFmt w:val="none"/>
      <w:pStyle w:val="54"/>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3">
    <w:nsid w:val="63AF7EBF"/>
    <w:multiLevelType w:val="multilevel"/>
    <w:tmpl w:val="63AF7EBF"/>
    <w:lvl w:ilvl="0" w:tentative="0">
      <w:start w:val="1"/>
      <w:numFmt w:val="decimal"/>
      <w:pStyle w:val="128"/>
      <w:suff w:val="nothing"/>
      <w:lvlText w:val="表%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657D3FBC"/>
    <w:multiLevelType w:val="multilevel"/>
    <w:tmpl w:val="657D3FBC"/>
    <w:lvl w:ilvl="0" w:tentative="0">
      <w:start w:val="1"/>
      <w:numFmt w:val="upperLetter"/>
      <w:pStyle w:val="86"/>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5"/>
      <w:suff w:val="nothing"/>
      <w:lvlText w:val="%1.%2.%3　"/>
      <w:lvlJc w:val="left"/>
      <w:pPr>
        <w:ind w:left="0" w:firstLine="0"/>
      </w:pPr>
      <w:rPr>
        <w:rFonts w:hint="eastAsia" w:ascii="黑体" w:hAnsi="Times New Roman" w:eastAsia="黑体"/>
        <w:b w:val="0"/>
        <w:i w:val="0"/>
        <w:sz w:val="21"/>
      </w:rPr>
    </w:lvl>
    <w:lvl w:ilvl="3" w:tentative="0">
      <w:start w:val="1"/>
      <w:numFmt w:val="decimal"/>
      <w:pStyle w:val="90"/>
      <w:suff w:val="nothing"/>
      <w:lvlText w:val="%1.%2.%3.%4　"/>
      <w:lvlJc w:val="left"/>
      <w:pPr>
        <w:ind w:left="0"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pStyle w:val="98"/>
      <w:suff w:val="nothing"/>
      <w:lvlText w:val="%1.%2.%3.%4.%5.%6　"/>
      <w:lvlJc w:val="left"/>
      <w:pPr>
        <w:ind w:left="0" w:firstLine="0"/>
      </w:pPr>
      <w:rPr>
        <w:rFonts w:hint="eastAsia" w:ascii="黑体" w:hAnsi="Times New Roman" w:eastAsia="黑体"/>
        <w:b w:val="0"/>
        <w:i w:val="0"/>
        <w:sz w:val="21"/>
      </w:rPr>
    </w:lvl>
    <w:lvl w:ilvl="6" w:tentative="0">
      <w:start w:val="1"/>
      <w:numFmt w:val="decimal"/>
      <w:pStyle w:val="10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AB870ED"/>
    <w:multiLevelType w:val="multilevel"/>
    <w:tmpl w:val="6AB870ED"/>
    <w:lvl w:ilvl="0" w:tentative="0">
      <w:start w:val="1"/>
      <w:numFmt w:val="decimal"/>
      <w:pStyle w:val="64"/>
      <w:suff w:val="nothing"/>
      <w:lvlText w:val="示例%1："/>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6">
    <w:nsid w:val="6D6C07CD"/>
    <w:multiLevelType w:val="multilevel"/>
    <w:tmpl w:val="6D6C07CD"/>
    <w:lvl w:ilvl="0" w:tentative="0">
      <w:start w:val="1"/>
      <w:numFmt w:val="lowerLetter"/>
      <w:pStyle w:val="107"/>
      <w:lvlText w:val="%1)"/>
      <w:lvlJc w:val="left"/>
      <w:pPr>
        <w:tabs>
          <w:tab w:val="left" w:pos="839"/>
        </w:tabs>
        <w:ind w:left="839" w:hanging="419"/>
      </w:pPr>
      <w:rPr>
        <w:rFonts w:hint="eastAsia" w:ascii="宋体" w:eastAsia="宋体"/>
        <w:b w:val="0"/>
        <w:i w:val="0"/>
        <w:sz w:val="21"/>
      </w:rPr>
    </w:lvl>
    <w:lvl w:ilvl="1" w:tentative="0">
      <w:start w:val="1"/>
      <w:numFmt w:val="decimal"/>
      <w:pStyle w:val="97"/>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7">
    <w:nsid w:val="7350001E"/>
    <w:multiLevelType w:val="multilevel"/>
    <w:tmpl w:val="7350001E"/>
    <w:lvl w:ilvl="0" w:tentative="0">
      <w:start w:val="1"/>
      <w:numFmt w:val="decimal"/>
      <w:pStyle w:val="47"/>
      <w:suff w:val="nothing"/>
      <w:lvlText w:val="%1　"/>
      <w:lvlJc w:val="left"/>
      <w:pPr>
        <w:ind w:left="426" w:firstLine="0"/>
      </w:pPr>
      <w:rPr>
        <w:rFonts w:hint="eastAsia" w:ascii="黑体" w:hAnsi="Times New Roman" w:eastAsia="黑体"/>
        <w:b w:val="0"/>
        <w:i w:val="0"/>
        <w:sz w:val="21"/>
        <w:szCs w:val="21"/>
      </w:rPr>
    </w:lvl>
    <w:lvl w:ilvl="1" w:tentative="0">
      <w:start w:val="1"/>
      <w:numFmt w:val="none"/>
      <w:pStyle w:val="44"/>
      <w:suff w:val="nothing"/>
      <w:lvlText w:val="A.1"/>
      <w:lvlJc w:val="left"/>
      <w:pPr>
        <w:tabs>
          <w:tab w:val="left" w:pos="0"/>
        </w:tabs>
        <w:ind w:left="0" w:firstLine="0"/>
      </w:pPr>
      <w:rPr>
        <w:rFonts w:hint="default" w:ascii="黑体" w:hAnsi="黑体" w:eastAsia="黑体" w:cs="宋体"/>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48"/>
      <w:suff w:val="nothing"/>
      <w:lvlText w:val="%1.%2.%3　"/>
      <w:lvlJc w:val="left"/>
      <w:pPr>
        <w:ind w:left="142" w:firstLine="0"/>
      </w:pPr>
      <w:rPr>
        <w:rFonts w:hint="eastAsia" w:ascii="黑体" w:hAnsi="Times New Roman" w:eastAsia="黑体"/>
        <w:b w:val="0"/>
        <w:i w:val="0"/>
        <w:sz w:val="21"/>
      </w:rPr>
    </w:lvl>
    <w:lvl w:ilvl="3" w:tentative="0">
      <w:start w:val="1"/>
      <w:numFmt w:val="decimal"/>
      <w:pStyle w:val="53"/>
      <w:suff w:val="nothing"/>
      <w:lvlText w:val="%1.%2.%3.%4　"/>
      <w:lvlJc w:val="left"/>
      <w:pPr>
        <w:ind w:left="0" w:firstLine="0"/>
      </w:pPr>
      <w:rPr>
        <w:rFonts w:ascii="黑体" w:hAnsi="黑体" w:eastAsia="黑体"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tentative="0">
      <w:start w:val="1"/>
      <w:numFmt w:val="decimal"/>
      <w:pStyle w:val="57"/>
      <w:suff w:val="nothing"/>
      <w:lvlText w:val="%1.%2.%3.%4.%5　"/>
      <w:lvlJc w:val="left"/>
      <w:pPr>
        <w:ind w:left="0" w:firstLine="0"/>
      </w:pPr>
      <w:rPr>
        <w:rFonts w:hint="eastAsia" w:ascii="黑体" w:hAnsi="Times New Roman" w:eastAsia="黑体"/>
        <w:b w:val="0"/>
        <w:i w:val="0"/>
        <w:sz w:val="21"/>
      </w:rPr>
    </w:lvl>
    <w:lvl w:ilvl="5" w:tentative="0">
      <w:start w:val="1"/>
      <w:numFmt w:val="decimal"/>
      <w:pStyle w:val="58"/>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8"/>
  </w:num>
  <w:num w:numId="2">
    <w:abstractNumId w:val="17"/>
  </w:num>
  <w:num w:numId="3">
    <w:abstractNumId w:val="6"/>
  </w:num>
  <w:num w:numId="4">
    <w:abstractNumId w:val="12"/>
  </w:num>
  <w:num w:numId="5">
    <w:abstractNumId w:val="7"/>
  </w:num>
  <w:num w:numId="6">
    <w:abstractNumId w:val="1"/>
  </w:num>
  <w:num w:numId="7">
    <w:abstractNumId w:val="10"/>
  </w:num>
  <w:num w:numId="8">
    <w:abstractNumId w:val="15"/>
  </w:num>
  <w:num w:numId="9">
    <w:abstractNumId w:val="4"/>
  </w:num>
  <w:num w:numId="10">
    <w:abstractNumId w:val="0"/>
  </w:num>
  <w:num w:numId="11">
    <w:abstractNumId w:val="14"/>
  </w:num>
  <w:num w:numId="12">
    <w:abstractNumId w:val="11"/>
  </w:num>
  <w:num w:numId="13">
    <w:abstractNumId w:val="16"/>
  </w:num>
  <w:num w:numId="14">
    <w:abstractNumId w:val="5"/>
  </w:num>
  <w:num w:numId="15">
    <w:abstractNumId w:val="3"/>
  </w:num>
  <w:num w:numId="16">
    <w:abstractNumId w:val="13"/>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xNWU0MjQzMWNhOWZiODJjZGEzMTQ0MDhiNGNlMWQifQ=="/>
  </w:docVars>
  <w:rsids>
    <w:rsidRoot w:val="00035925"/>
    <w:rsid w:val="00000244"/>
    <w:rsid w:val="00000BB3"/>
    <w:rsid w:val="0000185F"/>
    <w:rsid w:val="00004884"/>
    <w:rsid w:val="00004B91"/>
    <w:rsid w:val="00004E32"/>
    <w:rsid w:val="0000586F"/>
    <w:rsid w:val="0000634D"/>
    <w:rsid w:val="000067A7"/>
    <w:rsid w:val="00013D86"/>
    <w:rsid w:val="00013E02"/>
    <w:rsid w:val="0002143C"/>
    <w:rsid w:val="000255E9"/>
    <w:rsid w:val="00025A65"/>
    <w:rsid w:val="00026C31"/>
    <w:rsid w:val="00027280"/>
    <w:rsid w:val="00031A5B"/>
    <w:rsid w:val="000320A7"/>
    <w:rsid w:val="000325EA"/>
    <w:rsid w:val="00035925"/>
    <w:rsid w:val="00035DF7"/>
    <w:rsid w:val="00036C2C"/>
    <w:rsid w:val="00036F4B"/>
    <w:rsid w:val="00043ACF"/>
    <w:rsid w:val="00045A7C"/>
    <w:rsid w:val="00050BB7"/>
    <w:rsid w:val="00051077"/>
    <w:rsid w:val="0005370D"/>
    <w:rsid w:val="00055371"/>
    <w:rsid w:val="00056A24"/>
    <w:rsid w:val="00057CE5"/>
    <w:rsid w:val="000607A3"/>
    <w:rsid w:val="00060E20"/>
    <w:rsid w:val="000657F7"/>
    <w:rsid w:val="00067CDF"/>
    <w:rsid w:val="000707B8"/>
    <w:rsid w:val="00070C8C"/>
    <w:rsid w:val="00073401"/>
    <w:rsid w:val="00074FBE"/>
    <w:rsid w:val="00076818"/>
    <w:rsid w:val="0007762A"/>
    <w:rsid w:val="000778A6"/>
    <w:rsid w:val="00081325"/>
    <w:rsid w:val="00081F6E"/>
    <w:rsid w:val="00083A09"/>
    <w:rsid w:val="00083C86"/>
    <w:rsid w:val="00085DF2"/>
    <w:rsid w:val="00087896"/>
    <w:rsid w:val="0009005E"/>
    <w:rsid w:val="000906CA"/>
    <w:rsid w:val="00090BA7"/>
    <w:rsid w:val="000918A9"/>
    <w:rsid w:val="00092001"/>
    <w:rsid w:val="00092618"/>
    <w:rsid w:val="00092857"/>
    <w:rsid w:val="00092BD8"/>
    <w:rsid w:val="000964C7"/>
    <w:rsid w:val="000979D9"/>
    <w:rsid w:val="000A20A9"/>
    <w:rsid w:val="000A48B1"/>
    <w:rsid w:val="000A5F1F"/>
    <w:rsid w:val="000B0995"/>
    <w:rsid w:val="000B2F0E"/>
    <w:rsid w:val="000B3143"/>
    <w:rsid w:val="000B405D"/>
    <w:rsid w:val="000B577E"/>
    <w:rsid w:val="000C1B1B"/>
    <w:rsid w:val="000C1C72"/>
    <w:rsid w:val="000C1F79"/>
    <w:rsid w:val="000C2BE6"/>
    <w:rsid w:val="000C5E9B"/>
    <w:rsid w:val="000C67F2"/>
    <w:rsid w:val="000C6B05"/>
    <w:rsid w:val="000C6DD6"/>
    <w:rsid w:val="000C73D4"/>
    <w:rsid w:val="000C7455"/>
    <w:rsid w:val="000D2E05"/>
    <w:rsid w:val="000D3D4C"/>
    <w:rsid w:val="000D4F51"/>
    <w:rsid w:val="000D6DBC"/>
    <w:rsid w:val="000D718B"/>
    <w:rsid w:val="000E0C46"/>
    <w:rsid w:val="000E15EE"/>
    <w:rsid w:val="000E49BB"/>
    <w:rsid w:val="000E4F76"/>
    <w:rsid w:val="000E5B15"/>
    <w:rsid w:val="000E5BA1"/>
    <w:rsid w:val="000E692E"/>
    <w:rsid w:val="000F0088"/>
    <w:rsid w:val="000F030C"/>
    <w:rsid w:val="000F0949"/>
    <w:rsid w:val="000F129C"/>
    <w:rsid w:val="000F174F"/>
    <w:rsid w:val="000F4777"/>
    <w:rsid w:val="000F4AD0"/>
    <w:rsid w:val="000F73B6"/>
    <w:rsid w:val="000F7814"/>
    <w:rsid w:val="001017F0"/>
    <w:rsid w:val="00102B53"/>
    <w:rsid w:val="00103802"/>
    <w:rsid w:val="0010436F"/>
    <w:rsid w:val="00104E29"/>
    <w:rsid w:val="001056DE"/>
    <w:rsid w:val="00106A8E"/>
    <w:rsid w:val="00111542"/>
    <w:rsid w:val="001124C0"/>
    <w:rsid w:val="00117A25"/>
    <w:rsid w:val="0012079F"/>
    <w:rsid w:val="00121293"/>
    <w:rsid w:val="001222C0"/>
    <w:rsid w:val="0012249A"/>
    <w:rsid w:val="00126A1A"/>
    <w:rsid w:val="0013175F"/>
    <w:rsid w:val="0013178A"/>
    <w:rsid w:val="0013364D"/>
    <w:rsid w:val="001343BB"/>
    <w:rsid w:val="00136DA9"/>
    <w:rsid w:val="001420EF"/>
    <w:rsid w:val="00147F4C"/>
    <w:rsid w:val="001512B4"/>
    <w:rsid w:val="00151669"/>
    <w:rsid w:val="00151974"/>
    <w:rsid w:val="00151FB7"/>
    <w:rsid w:val="001529FF"/>
    <w:rsid w:val="00153A26"/>
    <w:rsid w:val="00155299"/>
    <w:rsid w:val="00157D90"/>
    <w:rsid w:val="00161DC2"/>
    <w:rsid w:val="001620A5"/>
    <w:rsid w:val="00164E53"/>
    <w:rsid w:val="00165D35"/>
    <w:rsid w:val="0016699D"/>
    <w:rsid w:val="001670D9"/>
    <w:rsid w:val="001710EF"/>
    <w:rsid w:val="0017423B"/>
    <w:rsid w:val="00175159"/>
    <w:rsid w:val="00175AD7"/>
    <w:rsid w:val="00176208"/>
    <w:rsid w:val="00177562"/>
    <w:rsid w:val="001776CC"/>
    <w:rsid w:val="0017780C"/>
    <w:rsid w:val="0018037A"/>
    <w:rsid w:val="00180916"/>
    <w:rsid w:val="001813B2"/>
    <w:rsid w:val="0018211B"/>
    <w:rsid w:val="001828C0"/>
    <w:rsid w:val="00182FFE"/>
    <w:rsid w:val="00183FE1"/>
    <w:rsid w:val="001840D3"/>
    <w:rsid w:val="00184388"/>
    <w:rsid w:val="00184782"/>
    <w:rsid w:val="00187A8A"/>
    <w:rsid w:val="001900F8"/>
    <w:rsid w:val="0019080C"/>
    <w:rsid w:val="00191258"/>
    <w:rsid w:val="00192111"/>
    <w:rsid w:val="00192680"/>
    <w:rsid w:val="00193037"/>
    <w:rsid w:val="00193375"/>
    <w:rsid w:val="00193A2C"/>
    <w:rsid w:val="00195A0D"/>
    <w:rsid w:val="001962CF"/>
    <w:rsid w:val="00196652"/>
    <w:rsid w:val="001A1F17"/>
    <w:rsid w:val="001A288E"/>
    <w:rsid w:val="001A6B63"/>
    <w:rsid w:val="001B36ED"/>
    <w:rsid w:val="001B498E"/>
    <w:rsid w:val="001B6DC2"/>
    <w:rsid w:val="001B754B"/>
    <w:rsid w:val="001C149C"/>
    <w:rsid w:val="001C21AC"/>
    <w:rsid w:val="001C3689"/>
    <w:rsid w:val="001C47BA"/>
    <w:rsid w:val="001C59EA"/>
    <w:rsid w:val="001C66FC"/>
    <w:rsid w:val="001C6831"/>
    <w:rsid w:val="001C6BB8"/>
    <w:rsid w:val="001D3556"/>
    <w:rsid w:val="001D3872"/>
    <w:rsid w:val="001D406C"/>
    <w:rsid w:val="001D41EE"/>
    <w:rsid w:val="001D4BEB"/>
    <w:rsid w:val="001D71E6"/>
    <w:rsid w:val="001E0380"/>
    <w:rsid w:val="001E0B1B"/>
    <w:rsid w:val="001E13B1"/>
    <w:rsid w:val="001E2153"/>
    <w:rsid w:val="001E2967"/>
    <w:rsid w:val="001E7B9E"/>
    <w:rsid w:val="001F2A08"/>
    <w:rsid w:val="001F3A19"/>
    <w:rsid w:val="001F53F5"/>
    <w:rsid w:val="001F61D3"/>
    <w:rsid w:val="002009E4"/>
    <w:rsid w:val="00201053"/>
    <w:rsid w:val="0020107E"/>
    <w:rsid w:val="0020251B"/>
    <w:rsid w:val="002050DC"/>
    <w:rsid w:val="00206AC5"/>
    <w:rsid w:val="0020716E"/>
    <w:rsid w:val="002073D3"/>
    <w:rsid w:val="0020755D"/>
    <w:rsid w:val="00207776"/>
    <w:rsid w:val="00215B0E"/>
    <w:rsid w:val="00215D48"/>
    <w:rsid w:val="0021624B"/>
    <w:rsid w:val="00220723"/>
    <w:rsid w:val="0022185E"/>
    <w:rsid w:val="00225883"/>
    <w:rsid w:val="00226384"/>
    <w:rsid w:val="00226766"/>
    <w:rsid w:val="00227FED"/>
    <w:rsid w:val="0023030A"/>
    <w:rsid w:val="00230F08"/>
    <w:rsid w:val="00234467"/>
    <w:rsid w:val="002352CF"/>
    <w:rsid w:val="00235BE6"/>
    <w:rsid w:val="00235CC8"/>
    <w:rsid w:val="00237B35"/>
    <w:rsid w:val="00237D8D"/>
    <w:rsid w:val="00241DA2"/>
    <w:rsid w:val="00242623"/>
    <w:rsid w:val="00247808"/>
    <w:rsid w:val="00247FEE"/>
    <w:rsid w:val="00250E7D"/>
    <w:rsid w:val="002523DB"/>
    <w:rsid w:val="002527DD"/>
    <w:rsid w:val="00252DAA"/>
    <w:rsid w:val="0025363E"/>
    <w:rsid w:val="002547CF"/>
    <w:rsid w:val="00255D40"/>
    <w:rsid w:val="002565D5"/>
    <w:rsid w:val="00256BDF"/>
    <w:rsid w:val="00257188"/>
    <w:rsid w:val="00260515"/>
    <w:rsid w:val="00260AB7"/>
    <w:rsid w:val="002613BF"/>
    <w:rsid w:val="002622C0"/>
    <w:rsid w:val="00274252"/>
    <w:rsid w:val="00275E78"/>
    <w:rsid w:val="002778AE"/>
    <w:rsid w:val="00277E20"/>
    <w:rsid w:val="0028269A"/>
    <w:rsid w:val="00283254"/>
    <w:rsid w:val="00283334"/>
    <w:rsid w:val="00283590"/>
    <w:rsid w:val="00283860"/>
    <w:rsid w:val="00286973"/>
    <w:rsid w:val="00287674"/>
    <w:rsid w:val="002938A4"/>
    <w:rsid w:val="0029455D"/>
    <w:rsid w:val="00294E70"/>
    <w:rsid w:val="002954B8"/>
    <w:rsid w:val="002967B2"/>
    <w:rsid w:val="00296D00"/>
    <w:rsid w:val="002A118E"/>
    <w:rsid w:val="002A1924"/>
    <w:rsid w:val="002A4896"/>
    <w:rsid w:val="002A4B3A"/>
    <w:rsid w:val="002A7420"/>
    <w:rsid w:val="002A7A7E"/>
    <w:rsid w:val="002B0F12"/>
    <w:rsid w:val="002B1308"/>
    <w:rsid w:val="002B4554"/>
    <w:rsid w:val="002B4B6C"/>
    <w:rsid w:val="002B707C"/>
    <w:rsid w:val="002B78D8"/>
    <w:rsid w:val="002C013C"/>
    <w:rsid w:val="002C6893"/>
    <w:rsid w:val="002C72D8"/>
    <w:rsid w:val="002D11FA"/>
    <w:rsid w:val="002D17BC"/>
    <w:rsid w:val="002D19A4"/>
    <w:rsid w:val="002D24A5"/>
    <w:rsid w:val="002D3FA1"/>
    <w:rsid w:val="002D5B20"/>
    <w:rsid w:val="002D6352"/>
    <w:rsid w:val="002D6A47"/>
    <w:rsid w:val="002D6E85"/>
    <w:rsid w:val="002E0DDF"/>
    <w:rsid w:val="002E2906"/>
    <w:rsid w:val="002E2ACE"/>
    <w:rsid w:val="002E5635"/>
    <w:rsid w:val="002E5B16"/>
    <w:rsid w:val="002E5E8B"/>
    <w:rsid w:val="002E64C3"/>
    <w:rsid w:val="002E6535"/>
    <w:rsid w:val="002E665C"/>
    <w:rsid w:val="002E6A2C"/>
    <w:rsid w:val="002E7A8D"/>
    <w:rsid w:val="002F035E"/>
    <w:rsid w:val="002F0FE8"/>
    <w:rsid w:val="002F1D8C"/>
    <w:rsid w:val="002F21DA"/>
    <w:rsid w:val="002F34B8"/>
    <w:rsid w:val="002F3BF1"/>
    <w:rsid w:val="002F7DBC"/>
    <w:rsid w:val="00300740"/>
    <w:rsid w:val="00301F39"/>
    <w:rsid w:val="0030266B"/>
    <w:rsid w:val="00303D27"/>
    <w:rsid w:val="00305372"/>
    <w:rsid w:val="00305BEE"/>
    <w:rsid w:val="003118FA"/>
    <w:rsid w:val="00313622"/>
    <w:rsid w:val="00313962"/>
    <w:rsid w:val="00313AC2"/>
    <w:rsid w:val="0031637F"/>
    <w:rsid w:val="003234E0"/>
    <w:rsid w:val="00325624"/>
    <w:rsid w:val="00325926"/>
    <w:rsid w:val="00327A8A"/>
    <w:rsid w:val="00327BF9"/>
    <w:rsid w:val="00330DA4"/>
    <w:rsid w:val="00332591"/>
    <w:rsid w:val="003339A3"/>
    <w:rsid w:val="00334D8E"/>
    <w:rsid w:val="0033532E"/>
    <w:rsid w:val="00336610"/>
    <w:rsid w:val="00340D70"/>
    <w:rsid w:val="003412BF"/>
    <w:rsid w:val="00341F5C"/>
    <w:rsid w:val="00341F5F"/>
    <w:rsid w:val="00343D23"/>
    <w:rsid w:val="00343F73"/>
    <w:rsid w:val="00345060"/>
    <w:rsid w:val="003451FB"/>
    <w:rsid w:val="00352629"/>
    <w:rsid w:val="0035323B"/>
    <w:rsid w:val="00353836"/>
    <w:rsid w:val="00353D19"/>
    <w:rsid w:val="00354009"/>
    <w:rsid w:val="00354F60"/>
    <w:rsid w:val="003561EA"/>
    <w:rsid w:val="00356F3E"/>
    <w:rsid w:val="00357037"/>
    <w:rsid w:val="0035785A"/>
    <w:rsid w:val="003609D2"/>
    <w:rsid w:val="00362C37"/>
    <w:rsid w:val="00363331"/>
    <w:rsid w:val="003633CD"/>
    <w:rsid w:val="003637A2"/>
    <w:rsid w:val="00363929"/>
    <w:rsid w:val="00363F22"/>
    <w:rsid w:val="00364162"/>
    <w:rsid w:val="00364940"/>
    <w:rsid w:val="00365741"/>
    <w:rsid w:val="0037059A"/>
    <w:rsid w:val="0037086E"/>
    <w:rsid w:val="003753F3"/>
    <w:rsid w:val="00375564"/>
    <w:rsid w:val="00376489"/>
    <w:rsid w:val="003776ED"/>
    <w:rsid w:val="00380BFB"/>
    <w:rsid w:val="00383191"/>
    <w:rsid w:val="00384EDC"/>
    <w:rsid w:val="00386A08"/>
    <w:rsid w:val="00386DED"/>
    <w:rsid w:val="003904D6"/>
    <w:rsid w:val="003912E7"/>
    <w:rsid w:val="00391E61"/>
    <w:rsid w:val="00393947"/>
    <w:rsid w:val="00395141"/>
    <w:rsid w:val="003A0E27"/>
    <w:rsid w:val="003A0EF2"/>
    <w:rsid w:val="003A1552"/>
    <w:rsid w:val="003A1E04"/>
    <w:rsid w:val="003A2275"/>
    <w:rsid w:val="003A23CA"/>
    <w:rsid w:val="003A68A9"/>
    <w:rsid w:val="003A6A4F"/>
    <w:rsid w:val="003A7088"/>
    <w:rsid w:val="003B00DF"/>
    <w:rsid w:val="003B1275"/>
    <w:rsid w:val="003B1778"/>
    <w:rsid w:val="003B1CCE"/>
    <w:rsid w:val="003B32EA"/>
    <w:rsid w:val="003B6260"/>
    <w:rsid w:val="003B628F"/>
    <w:rsid w:val="003B7350"/>
    <w:rsid w:val="003C11CB"/>
    <w:rsid w:val="003C3017"/>
    <w:rsid w:val="003C67D4"/>
    <w:rsid w:val="003C6A77"/>
    <w:rsid w:val="003C75F3"/>
    <w:rsid w:val="003C78A3"/>
    <w:rsid w:val="003D0478"/>
    <w:rsid w:val="003D36AB"/>
    <w:rsid w:val="003D4A73"/>
    <w:rsid w:val="003D731C"/>
    <w:rsid w:val="003E1867"/>
    <w:rsid w:val="003E1EE0"/>
    <w:rsid w:val="003E5729"/>
    <w:rsid w:val="003E5903"/>
    <w:rsid w:val="003E724E"/>
    <w:rsid w:val="003F1D40"/>
    <w:rsid w:val="003F22BB"/>
    <w:rsid w:val="003F2A5B"/>
    <w:rsid w:val="003F371A"/>
    <w:rsid w:val="003F4EE0"/>
    <w:rsid w:val="003F5252"/>
    <w:rsid w:val="003F5559"/>
    <w:rsid w:val="00400473"/>
    <w:rsid w:val="00402153"/>
    <w:rsid w:val="004021DF"/>
    <w:rsid w:val="00402E26"/>
    <w:rsid w:val="00402FC1"/>
    <w:rsid w:val="00403984"/>
    <w:rsid w:val="00404B41"/>
    <w:rsid w:val="00405F48"/>
    <w:rsid w:val="004062B6"/>
    <w:rsid w:val="0041722A"/>
    <w:rsid w:val="004200D9"/>
    <w:rsid w:val="00422AAF"/>
    <w:rsid w:val="00423367"/>
    <w:rsid w:val="00424FEA"/>
    <w:rsid w:val="00425082"/>
    <w:rsid w:val="00430334"/>
    <w:rsid w:val="00431DEB"/>
    <w:rsid w:val="0043249B"/>
    <w:rsid w:val="00434AD5"/>
    <w:rsid w:val="00440624"/>
    <w:rsid w:val="0044259D"/>
    <w:rsid w:val="004439D9"/>
    <w:rsid w:val="00443B8A"/>
    <w:rsid w:val="00446B29"/>
    <w:rsid w:val="004478FE"/>
    <w:rsid w:val="0045056B"/>
    <w:rsid w:val="0045185C"/>
    <w:rsid w:val="00451AA9"/>
    <w:rsid w:val="00451D82"/>
    <w:rsid w:val="004524BE"/>
    <w:rsid w:val="00453F9A"/>
    <w:rsid w:val="00454CC3"/>
    <w:rsid w:val="004609C4"/>
    <w:rsid w:val="004630EF"/>
    <w:rsid w:val="00464903"/>
    <w:rsid w:val="004660AB"/>
    <w:rsid w:val="00467242"/>
    <w:rsid w:val="00467EDB"/>
    <w:rsid w:val="00471E91"/>
    <w:rsid w:val="00472094"/>
    <w:rsid w:val="00474079"/>
    <w:rsid w:val="00474406"/>
    <w:rsid w:val="00474675"/>
    <w:rsid w:val="0047470C"/>
    <w:rsid w:val="00480A5A"/>
    <w:rsid w:val="00481083"/>
    <w:rsid w:val="00484C88"/>
    <w:rsid w:val="00487B94"/>
    <w:rsid w:val="00494D25"/>
    <w:rsid w:val="00494FB9"/>
    <w:rsid w:val="0049725F"/>
    <w:rsid w:val="004A1EC5"/>
    <w:rsid w:val="004A203E"/>
    <w:rsid w:val="004A2ACD"/>
    <w:rsid w:val="004A35F9"/>
    <w:rsid w:val="004A4662"/>
    <w:rsid w:val="004A7814"/>
    <w:rsid w:val="004A7E02"/>
    <w:rsid w:val="004B157A"/>
    <w:rsid w:val="004B2479"/>
    <w:rsid w:val="004B24C1"/>
    <w:rsid w:val="004B27B8"/>
    <w:rsid w:val="004B29E2"/>
    <w:rsid w:val="004B2A6B"/>
    <w:rsid w:val="004B3092"/>
    <w:rsid w:val="004B47A1"/>
    <w:rsid w:val="004B4836"/>
    <w:rsid w:val="004B49B1"/>
    <w:rsid w:val="004B4B7B"/>
    <w:rsid w:val="004B557C"/>
    <w:rsid w:val="004B7021"/>
    <w:rsid w:val="004C0E91"/>
    <w:rsid w:val="004C292F"/>
    <w:rsid w:val="004C2F39"/>
    <w:rsid w:val="004C33CB"/>
    <w:rsid w:val="004C386B"/>
    <w:rsid w:val="004C4320"/>
    <w:rsid w:val="004C489C"/>
    <w:rsid w:val="004C52F5"/>
    <w:rsid w:val="004C657F"/>
    <w:rsid w:val="004C78FC"/>
    <w:rsid w:val="004D2AB1"/>
    <w:rsid w:val="004D306F"/>
    <w:rsid w:val="004D4B02"/>
    <w:rsid w:val="004D4F76"/>
    <w:rsid w:val="004E427A"/>
    <w:rsid w:val="004E4B13"/>
    <w:rsid w:val="004E4B8C"/>
    <w:rsid w:val="004E550B"/>
    <w:rsid w:val="004E5A47"/>
    <w:rsid w:val="004F143F"/>
    <w:rsid w:val="005036E2"/>
    <w:rsid w:val="005042B9"/>
    <w:rsid w:val="00504D2A"/>
    <w:rsid w:val="00504D87"/>
    <w:rsid w:val="00505A4C"/>
    <w:rsid w:val="00510280"/>
    <w:rsid w:val="0051141A"/>
    <w:rsid w:val="00511C57"/>
    <w:rsid w:val="00513D73"/>
    <w:rsid w:val="005148B3"/>
    <w:rsid w:val="00514A43"/>
    <w:rsid w:val="005151E4"/>
    <w:rsid w:val="00515C56"/>
    <w:rsid w:val="00515E9C"/>
    <w:rsid w:val="00516C96"/>
    <w:rsid w:val="005174E5"/>
    <w:rsid w:val="00520898"/>
    <w:rsid w:val="0052168A"/>
    <w:rsid w:val="00521882"/>
    <w:rsid w:val="00522393"/>
    <w:rsid w:val="00522620"/>
    <w:rsid w:val="00522C9C"/>
    <w:rsid w:val="00525656"/>
    <w:rsid w:val="00525BF3"/>
    <w:rsid w:val="00526B6A"/>
    <w:rsid w:val="00527A6F"/>
    <w:rsid w:val="0053024D"/>
    <w:rsid w:val="00534C02"/>
    <w:rsid w:val="0054044C"/>
    <w:rsid w:val="00542515"/>
    <w:rsid w:val="0054264B"/>
    <w:rsid w:val="00543786"/>
    <w:rsid w:val="005444C5"/>
    <w:rsid w:val="0054535F"/>
    <w:rsid w:val="005456A6"/>
    <w:rsid w:val="00545A47"/>
    <w:rsid w:val="00545A49"/>
    <w:rsid w:val="005463CC"/>
    <w:rsid w:val="005465E4"/>
    <w:rsid w:val="00546D0D"/>
    <w:rsid w:val="00547C29"/>
    <w:rsid w:val="00550B2D"/>
    <w:rsid w:val="0055153A"/>
    <w:rsid w:val="005533D7"/>
    <w:rsid w:val="00554469"/>
    <w:rsid w:val="00554B63"/>
    <w:rsid w:val="00555076"/>
    <w:rsid w:val="00562CF6"/>
    <w:rsid w:val="00564D8B"/>
    <w:rsid w:val="0056544B"/>
    <w:rsid w:val="00567177"/>
    <w:rsid w:val="005703DE"/>
    <w:rsid w:val="005710BC"/>
    <w:rsid w:val="005755F1"/>
    <w:rsid w:val="00577F79"/>
    <w:rsid w:val="00580470"/>
    <w:rsid w:val="00582BBE"/>
    <w:rsid w:val="0058464E"/>
    <w:rsid w:val="0058650E"/>
    <w:rsid w:val="005A01CB"/>
    <w:rsid w:val="005A084F"/>
    <w:rsid w:val="005A19A9"/>
    <w:rsid w:val="005A3411"/>
    <w:rsid w:val="005A3CFE"/>
    <w:rsid w:val="005A58FF"/>
    <w:rsid w:val="005A5B52"/>
    <w:rsid w:val="005A5EAF"/>
    <w:rsid w:val="005A6491"/>
    <w:rsid w:val="005A64C0"/>
    <w:rsid w:val="005A6E19"/>
    <w:rsid w:val="005B00F3"/>
    <w:rsid w:val="005B1985"/>
    <w:rsid w:val="005B2800"/>
    <w:rsid w:val="005B3C11"/>
    <w:rsid w:val="005B712A"/>
    <w:rsid w:val="005C1781"/>
    <w:rsid w:val="005C1C28"/>
    <w:rsid w:val="005C24FB"/>
    <w:rsid w:val="005C43D0"/>
    <w:rsid w:val="005C6DB5"/>
    <w:rsid w:val="005D3842"/>
    <w:rsid w:val="005D392C"/>
    <w:rsid w:val="005D4926"/>
    <w:rsid w:val="005E05ED"/>
    <w:rsid w:val="005E1931"/>
    <w:rsid w:val="005E19E7"/>
    <w:rsid w:val="005E2392"/>
    <w:rsid w:val="005E75E8"/>
    <w:rsid w:val="005F2427"/>
    <w:rsid w:val="005F38B3"/>
    <w:rsid w:val="005F79DA"/>
    <w:rsid w:val="00601622"/>
    <w:rsid w:val="00601FA4"/>
    <w:rsid w:val="00602AD1"/>
    <w:rsid w:val="00604548"/>
    <w:rsid w:val="0060789B"/>
    <w:rsid w:val="0061037E"/>
    <w:rsid w:val="0061311B"/>
    <w:rsid w:val="006134DD"/>
    <w:rsid w:val="00613FAA"/>
    <w:rsid w:val="006158A6"/>
    <w:rsid w:val="00616C36"/>
    <w:rsid w:val="0061716C"/>
    <w:rsid w:val="006171AF"/>
    <w:rsid w:val="00617868"/>
    <w:rsid w:val="006243A1"/>
    <w:rsid w:val="00626005"/>
    <w:rsid w:val="00632E56"/>
    <w:rsid w:val="00635CBA"/>
    <w:rsid w:val="0063655F"/>
    <w:rsid w:val="00636EFC"/>
    <w:rsid w:val="006414C9"/>
    <w:rsid w:val="006422B5"/>
    <w:rsid w:val="0064338B"/>
    <w:rsid w:val="006444EA"/>
    <w:rsid w:val="00644BD3"/>
    <w:rsid w:val="00644E64"/>
    <w:rsid w:val="006463F5"/>
    <w:rsid w:val="00646542"/>
    <w:rsid w:val="006504F4"/>
    <w:rsid w:val="00650800"/>
    <w:rsid w:val="00650DE3"/>
    <w:rsid w:val="006514C8"/>
    <w:rsid w:val="00652B19"/>
    <w:rsid w:val="0065366F"/>
    <w:rsid w:val="00654BC9"/>
    <w:rsid w:val="00654CE3"/>
    <w:rsid w:val="006550A3"/>
    <w:rsid w:val="006552FD"/>
    <w:rsid w:val="00655320"/>
    <w:rsid w:val="00656F0B"/>
    <w:rsid w:val="00657AF7"/>
    <w:rsid w:val="00657FDD"/>
    <w:rsid w:val="00663733"/>
    <w:rsid w:val="00663AF3"/>
    <w:rsid w:val="00666B6C"/>
    <w:rsid w:val="00666DA7"/>
    <w:rsid w:val="00670351"/>
    <w:rsid w:val="006775BF"/>
    <w:rsid w:val="00677B54"/>
    <w:rsid w:val="00681C44"/>
    <w:rsid w:val="00682682"/>
    <w:rsid w:val="00682702"/>
    <w:rsid w:val="00686BE4"/>
    <w:rsid w:val="00692368"/>
    <w:rsid w:val="00694646"/>
    <w:rsid w:val="006950BD"/>
    <w:rsid w:val="00695192"/>
    <w:rsid w:val="00695F2C"/>
    <w:rsid w:val="006A1CD1"/>
    <w:rsid w:val="006A211B"/>
    <w:rsid w:val="006A2EBC"/>
    <w:rsid w:val="006A3AA7"/>
    <w:rsid w:val="006A5EA0"/>
    <w:rsid w:val="006A783B"/>
    <w:rsid w:val="006A7B33"/>
    <w:rsid w:val="006B0362"/>
    <w:rsid w:val="006B2059"/>
    <w:rsid w:val="006B497F"/>
    <w:rsid w:val="006B4E13"/>
    <w:rsid w:val="006B75DD"/>
    <w:rsid w:val="006C047C"/>
    <w:rsid w:val="006C0764"/>
    <w:rsid w:val="006C0817"/>
    <w:rsid w:val="006C1E23"/>
    <w:rsid w:val="006C3D8B"/>
    <w:rsid w:val="006C67E0"/>
    <w:rsid w:val="006C78B3"/>
    <w:rsid w:val="006C7ABA"/>
    <w:rsid w:val="006D0A13"/>
    <w:rsid w:val="006D0D60"/>
    <w:rsid w:val="006D1122"/>
    <w:rsid w:val="006D317E"/>
    <w:rsid w:val="006D3B1E"/>
    <w:rsid w:val="006D3C00"/>
    <w:rsid w:val="006D3F68"/>
    <w:rsid w:val="006D59AC"/>
    <w:rsid w:val="006D5A4B"/>
    <w:rsid w:val="006E06AD"/>
    <w:rsid w:val="006E243A"/>
    <w:rsid w:val="006E3344"/>
    <w:rsid w:val="006E3675"/>
    <w:rsid w:val="006E4A7F"/>
    <w:rsid w:val="006E7571"/>
    <w:rsid w:val="006E76A2"/>
    <w:rsid w:val="006F0967"/>
    <w:rsid w:val="006F1DC2"/>
    <w:rsid w:val="006F2274"/>
    <w:rsid w:val="006F4EE7"/>
    <w:rsid w:val="006F64A0"/>
    <w:rsid w:val="0070038F"/>
    <w:rsid w:val="007027B1"/>
    <w:rsid w:val="0070286C"/>
    <w:rsid w:val="00704DF6"/>
    <w:rsid w:val="007053EE"/>
    <w:rsid w:val="0070641D"/>
    <w:rsid w:val="0070651C"/>
    <w:rsid w:val="0070670D"/>
    <w:rsid w:val="00706DD7"/>
    <w:rsid w:val="007132A3"/>
    <w:rsid w:val="00716421"/>
    <w:rsid w:val="00721419"/>
    <w:rsid w:val="00724EFB"/>
    <w:rsid w:val="00726575"/>
    <w:rsid w:val="00730310"/>
    <w:rsid w:val="007326DE"/>
    <w:rsid w:val="00735328"/>
    <w:rsid w:val="00740A49"/>
    <w:rsid w:val="00741360"/>
    <w:rsid w:val="007419C3"/>
    <w:rsid w:val="00741A46"/>
    <w:rsid w:val="00742200"/>
    <w:rsid w:val="00742457"/>
    <w:rsid w:val="007442BA"/>
    <w:rsid w:val="007457E6"/>
    <w:rsid w:val="00746559"/>
    <w:rsid w:val="007467A7"/>
    <w:rsid w:val="007469DD"/>
    <w:rsid w:val="00747023"/>
    <w:rsid w:val="0074741B"/>
    <w:rsid w:val="0074759E"/>
    <w:rsid w:val="007478EA"/>
    <w:rsid w:val="00750B2E"/>
    <w:rsid w:val="0075415C"/>
    <w:rsid w:val="00757097"/>
    <w:rsid w:val="007606CB"/>
    <w:rsid w:val="00761E8B"/>
    <w:rsid w:val="007631E3"/>
    <w:rsid w:val="00763502"/>
    <w:rsid w:val="007665D8"/>
    <w:rsid w:val="00780354"/>
    <w:rsid w:val="007808BD"/>
    <w:rsid w:val="00780DE2"/>
    <w:rsid w:val="00785ADF"/>
    <w:rsid w:val="007913AB"/>
    <w:rsid w:val="007914F7"/>
    <w:rsid w:val="00795C73"/>
    <w:rsid w:val="00797A1D"/>
    <w:rsid w:val="007A4809"/>
    <w:rsid w:val="007A542A"/>
    <w:rsid w:val="007B0468"/>
    <w:rsid w:val="007B1625"/>
    <w:rsid w:val="007B1A4C"/>
    <w:rsid w:val="007B2366"/>
    <w:rsid w:val="007B6440"/>
    <w:rsid w:val="007B67B8"/>
    <w:rsid w:val="007B706E"/>
    <w:rsid w:val="007B71EB"/>
    <w:rsid w:val="007B7BA8"/>
    <w:rsid w:val="007C0748"/>
    <w:rsid w:val="007C0E7F"/>
    <w:rsid w:val="007C1B13"/>
    <w:rsid w:val="007C4E95"/>
    <w:rsid w:val="007C6205"/>
    <w:rsid w:val="007C6346"/>
    <w:rsid w:val="007C686A"/>
    <w:rsid w:val="007C728E"/>
    <w:rsid w:val="007D00CF"/>
    <w:rsid w:val="007D0BE0"/>
    <w:rsid w:val="007D1DC6"/>
    <w:rsid w:val="007D204F"/>
    <w:rsid w:val="007D2269"/>
    <w:rsid w:val="007D28C3"/>
    <w:rsid w:val="007D2C53"/>
    <w:rsid w:val="007D3857"/>
    <w:rsid w:val="007D3D60"/>
    <w:rsid w:val="007D7CF1"/>
    <w:rsid w:val="007E1980"/>
    <w:rsid w:val="007E34ED"/>
    <w:rsid w:val="007E4B76"/>
    <w:rsid w:val="007E5043"/>
    <w:rsid w:val="007E5EA8"/>
    <w:rsid w:val="007E67F2"/>
    <w:rsid w:val="007E6EDC"/>
    <w:rsid w:val="007F0CF1"/>
    <w:rsid w:val="007F0D28"/>
    <w:rsid w:val="007F12A5"/>
    <w:rsid w:val="007F2D74"/>
    <w:rsid w:val="007F3FB7"/>
    <w:rsid w:val="007F4CF1"/>
    <w:rsid w:val="007F5A01"/>
    <w:rsid w:val="007F758D"/>
    <w:rsid w:val="007F7D52"/>
    <w:rsid w:val="00800AD8"/>
    <w:rsid w:val="0080395C"/>
    <w:rsid w:val="0080484A"/>
    <w:rsid w:val="00805589"/>
    <w:rsid w:val="008057A5"/>
    <w:rsid w:val="00805E2F"/>
    <w:rsid w:val="0080654C"/>
    <w:rsid w:val="008071C6"/>
    <w:rsid w:val="00810174"/>
    <w:rsid w:val="00813674"/>
    <w:rsid w:val="00817A00"/>
    <w:rsid w:val="00820B95"/>
    <w:rsid w:val="00820CD7"/>
    <w:rsid w:val="008237D8"/>
    <w:rsid w:val="00823A1C"/>
    <w:rsid w:val="00825891"/>
    <w:rsid w:val="008272BB"/>
    <w:rsid w:val="0082738D"/>
    <w:rsid w:val="008315D6"/>
    <w:rsid w:val="00831631"/>
    <w:rsid w:val="0083228D"/>
    <w:rsid w:val="008326A1"/>
    <w:rsid w:val="00833D07"/>
    <w:rsid w:val="008344F2"/>
    <w:rsid w:val="00835DB3"/>
    <w:rsid w:val="0083617B"/>
    <w:rsid w:val="00836342"/>
    <w:rsid w:val="00836A2D"/>
    <w:rsid w:val="008371BD"/>
    <w:rsid w:val="00840EBF"/>
    <w:rsid w:val="00843012"/>
    <w:rsid w:val="008435C5"/>
    <w:rsid w:val="008436E7"/>
    <w:rsid w:val="008456BA"/>
    <w:rsid w:val="0084694D"/>
    <w:rsid w:val="008504A8"/>
    <w:rsid w:val="00851B58"/>
    <w:rsid w:val="0085282E"/>
    <w:rsid w:val="00853FDC"/>
    <w:rsid w:val="0085470D"/>
    <w:rsid w:val="0086784F"/>
    <w:rsid w:val="0087198C"/>
    <w:rsid w:val="00872C1F"/>
    <w:rsid w:val="0087320E"/>
    <w:rsid w:val="00873B42"/>
    <w:rsid w:val="008756A6"/>
    <w:rsid w:val="00876BC6"/>
    <w:rsid w:val="00877CB0"/>
    <w:rsid w:val="00880083"/>
    <w:rsid w:val="008805AC"/>
    <w:rsid w:val="00880D1A"/>
    <w:rsid w:val="00881D55"/>
    <w:rsid w:val="00881FE5"/>
    <w:rsid w:val="00883627"/>
    <w:rsid w:val="00883DE1"/>
    <w:rsid w:val="00884468"/>
    <w:rsid w:val="00885085"/>
    <w:rsid w:val="008856D8"/>
    <w:rsid w:val="00890141"/>
    <w:rsid w:val="0089082E"/>
    <w:rsid w:val="008908CC"/>
    <w:rsid w:val="00892E82"/>
    <w:rsid w:val="00893277"/>
    <w:rsid w:val="00894995"/>
    <w:rsid w:val="0089597A"/>
    <w:rsid w:val="00895B3C"/>
    <w:rsid w:val="00895FA9"/>
    <w:rsid w:val="00896688"/>
    <w:rsid w:val="008A1035"/>
    <w:rsid w:val="008A6B84"/>
    <w:rsid w:val="008A6E08"/>
    <w:rsid w:val="008C0BE9"/>
    <w:rsid w:val="008C0EE8"/>
    <w:rsid w:val="008C1B58"/>
    <w:rsid w:val="008C39AE"/>
    <w:rsid w:val="008C40DF"/>
    <w:rsid w:val="008C4CCC"/>
    <w:rsid w:val="008C590D"/>
    <w:rsid w:val="008C6E64"/>
    <w:rsid w:val="008C7580"/>
    <w:rsid w:val="008D3968"/>
    <w:rsid w:val="008D447E"/>
    <w:rsid w:val="008D4AAA"/>
    <w:rsid w:val="008D7467"/>
    <w:rsid w:val="008D7566"/>
    <w:rsid w:val="008E031B"/>
    <w:rsid w:val="008E0489"/>
    <w:rsid w:val="008E0560"/>
    <w:rsid w:val="008E0BFE"/>
    <w:rsid w:val="008E1C13"/>
    <w:rsid w:val="008E2D8C"/>
    <w:rsid w:val="008E4DC1"/>
    <w:rsid w:val="008E7029"/>
    <w:rsid w:val="008E7EF6"/>
    <w:rsid w:val="008F1BCF"/>
    <w:rsid w:val="008F1F98"/>
    <w:rsid w:val="008F2340"/>
    <w:rsid w:val="008F2790"/>
    <w:rsid w:val="008F4DC3"/>
    <w:rsid w:val="008F6758"/>
    <w:rsid w:val="009009BD"/>
    <w:rsid w:val="00903C43"/>
    <w:rsid w:val="00903F8F"/>
    <w:rsid w:val="009040DD"/>
    <w:rsid w:val="00905B47"/>
    <w:rsid w:val="0090690F"/>
    <w:rsid w:val="009075FB"/>
    <w:rsid w:val="00907B10"/>
    <w:rsid w:val="00911391"/>
    <w:rsid w:val="009125F1"/>
    <w:rsid w:val="0091331C"/>
    <w:rsid w:val="00913376"/>
    <w:rsid w:val="009137BD"/>
    <w:rsid w:val="0091503D"/>
    <w:rsid w:val="009224ED"/>
    <w:rsid w:val="00923D36"/>
    <w:rsid w:val="009269DA"/>
    <w:rsid w:val="009279DE"/>
    <w:rsid w:val="00927AB9"/>
    <w:rsid w:val="00927B37"/>
    <w:rsid w:val="00930116"/>
    <w:rsid w:val="00930625"/>
    <w:rsid w:val="00930B52"/>
    <w:rsid w:val="00931FE9"/>
    <w:rsid w:val="00932899"/>
    <w:rsid w:val="00934EFF"/>
    <w:rsid w:val="00941082"/>
    <w:rsid w:val="00941100"/>
    <w:rsid w:val="00941BD7"/>
    <w:rsid w:val="0094212C"/>
    <w:rsid w:val="00943289"/>
    <w:rsid w:val="00944853"/>
    <w:rsid w:val="0094609D"/>
    <w:rsid w:val="00946B31"/>
    <w:rsid w:val="009507A2"/>
    <w:rsid w:val="0095190F"/>
    <w:rsid w:val="00951EA5"/>
    <w:rsid w:val="0095378C"/>
    <w:rsid w:val="00954689"/>
    <w:rsid w:val="0095472A"/>
    <w:rsid w:val="0096085A"/>
    <w:rsid w:val="009617C9"/>
    <w:rsid w:val="00961C93"/>
    <w:rsid w:val="009625AC"/>
    <w:rsid w:val="00962B4E"/>
    <w:rsid w:val="00965324"/>
    <w:rsid w:val="00966E99"/>
    <w:rsid w:val="0097091E"/>
    <w:rsid w:val="00970D2D"/>
    <w:rsid w:val="009727D0"/>
    <w:rsid w:val="00973294"/>
    <w:rsid w:val="00974CDF"/>
    <w:rsid w:val="009760D3"/>
    <w:rsid w:val="00977132"/>
    <w:rsid w:val="009817F2"/>
    <w:rsid w:val="00981A4B"/>
    <w:rsid w:val="00982250"/>
    <w:rsid w:val="00982501"/>
    <w:rsid w:val="00983D33"/>
    <w:rsid w:val="00984358"/>
    <w:rsid w:val="0098575D"/>
    <w:rsid w:val="0098620A"/>
    <w:rsid w:val="0098651C"/>
    <w:rsid w:val="009868E6"/>
    <w:rsid w:val="009877D3"/>
    <w:rsid w:val="00987DF7"/>
    <w:rsid w:val="00987FE6"/>
    <w:rsid w:val="00990544"/>
    <w:rsid w:val="00993F43"/>
    <w:rsid w:val="009945A2"/>
    <w:rsid w:val="00994E8F"/>
    <w:rsid w:val="009951DC"/>
    <w:rsid w:val="0099555B"/>
    <w:rsid w:val="009959BB"/>
    <w:rsid w:val="00997158"/>
    <w:rsid w:val="009A0827"/>
    <w:rsid w:val="009A301B"/>
    <w:rsid w:val="009A3A1A"/>
    <w:rsid w:val="009A3A7C"/>
    <w:rsid w:val="009A45B9"/>
    <w:rsid w:val="009A5AE9"/>
    <w:rsid w:val="009A5D33"/>
    <w:rsid w:val="009A7D84"/>
    <w:rsid w:val="009B2323"/>
    <w:rsid w:val="009B2ADB"/>
    <w:rsid w:val="009B35C5"/>
    <w:rsid w:val="009B603A"/>
    <w:rsid w:val="009B6D44"/>
    <w:rsid w:val="009C0ED2"/>
    <w:rsid w:val="009C2D0E"/>
    <w:rsid w:val="009C3592"/>
    <w:rsid w:val="009C3DAC"/>
    <w:rsid w:val="009C418D"/>
    <w:rsid w:val="009C42E0"/>
    <w:rsid w:val="009C556B"/>
    <w:rsid w:val="009C5B19"/>
    <w:rsid w:val="009C690C"/>
    <w:rsid w:val="009D1B95"/>
    <w:rsid w:val="009D3230"/>
    <w:rsid w:val="009D5362"/>
    <w:rsid w:val="009D6D77"/>
    <w:rsid w:val="009D7347"/>
    <w:rsid w:val="009E1415"/>
    <w:rsid w:val="009E44E0"/>
    <w:rsid w:val="009E545C"/>
    <w:rsid w:val="009E6116"/>
    <w:rsid w:val="009E7E25"/>
    <w:rsid w:val="009F1706"/>
    <w:rsid w:val="009F4017"/>
    <w:rsid w:val="009F52D3"/>
    <w:rsid w:val="009F6C86"/>
    <w:rsid w:val="009F7007"/>
    <w:rsid w:val="00A02E43"/>
    <w:rsid w:val="00A033E8"/>
    <w:rsid w:val="00A034C9"/>
    <w:rsid w:val="00A04EBB"/>
    <w:rsid w:val="00A05368"/>
    <w:rsid w:val="00A06205"/>
    <w:rsid w:val="00A065F9"/>
    <w:rsid w:val="00A07011"/>
    <w:rsid w:val="00A07F34"/>
    <w:rsid w:val="00A11F49"/>
    <w:rsid w:val="00A20BD9"/>
    <w:rsid w:val="00A20EF0"/>
    <w:rsid w:val="00A22154"/>
    <w:rsid w:val="00A24058"/>
    <w:rsid w:val="00A24AFF"/>
    <w:rsid w:val="00A25C38"/>
    <w:rsid w:val="00A25E50"/>
    <w:rsid w:val="00A35824"/>
    <w:rsid w:val="00A36A18"/>
    <w:rsid w:val="00A36BBE"/>
    <w:rsid w:val="00A37C20"/>
    <w:rsid w:val="00A40D9E"/>
    <w:rsid w:val="00A41DF7"/>
    <w:rsid w:val="00A420B1"/>
    <w:rsid w:val="00A42ECA"/>
    <w:rsid w:val="00A4307A"/>
    <w:rsid w:val="00A44328"/>
    <w:rsid w:val="00A45A52"/>
    <w:rsid w:val="00A46DEF"/>
    <w:rsid w:val="00A47EBB"/>
    <w:rsid w:val="00A47F63"/>
    <w:rsid w:val="00A51CDD"/>
    <w:rsid w:val="00A544CE"/>
    <w:rsid w:val="00A563F8"/>
    <w:rsid w:val="00A56BBA"/>
    <w:rsid w:val="00A61E37"/>
    <w:rsid w:val="00A62DF2"/>
    <w:rsid w:val="00A642FB"/>
    <w:rsid w:val="00A65317"/>
    <w:rsid w:val="00A65B48"/>
    <w:rsid w:val="00A660C7"/>
    <w:rsid w:val="00A6730D"/>
    <w:rsid w:val="00A70500"/>
    <w:rsid w:val="00A715E8"/>
    <w:rsid w:val="00A71625"/>
    <w:rsid w:val="00A71B9B"/>
    <w:rsid w:val="00A72D82"/>
    <w:rsid w:val="00A751C7"/>
    <w:rsid w:val="00A80008"/>
    <w:rsid w:val="00A834C4"/>
    <w:rsid w:val="00A8424D"/>
    <w:rsid w:val="00A84B31"/>
    <w:rsid w:val="00A84CE5"/>
    <w:rsid w:val="00A87844"/>
    <w:rsid w:val="00A921FC"/>
    <w:rsid w:val="00A9227B"/>
    <w:rsid w:val="00A97A55"/>
    <w:rsid w:val="00AA038C"/>
    <w:rsid w:val="00AA09EC"/>
    <w:rsid w:val="00AA0D75"/>
    <w:rsid w:val="00AA66EC"/>
    <w:rsid w:val="00AA7A09"/>
    <w:rsid w:val="00AB38AE"/>
    <w:rsid w:val="00AB3B50"/>
    <w:rsid w:val="00AB5D06"/>
    <w:rsid w:val="00AC05B1"/>
    <w:rsid w:val="00AC0BFE"/>
    <w:rsid w:val="00AC1DDB"/>
    <w:rsid w:val="00AC450C"/>
    <w:rsid w:val="00AD06BE"/>
    <w:rsid w:val="00AD340B"/>
    <w:rsid w:val="00AD3472"/>
    <w:rsid w:val="00AD356C"/>
    <w:rsid w:val="00AD734F"/>
    <w:rsid w:val="00AE2062"/>
    <w:rsid w:val="00AE2914"/>
    <w:rsid w:val="00AE54B0"/>
    <w:rsid w:val="00AE54E2"/>
    <w:rsid w:val="00AE5588"/>
    <w:rsid w:val="00AE592B"/>
    <w:rsid w:val="00AE61F1"/>
    <w:rsid w:val="00AE6D15"/>
    <w:rsid w:val="00AE7023"/>
    <w:rsid w:val="00AE78AA"/>
    <w:rsid w:val="00AF0D74"/>
    <w:rsid w:val="00AF0EF3"/>
    <w:rsid w:val="00AF1F49"/>
    <w:rsid w:val="00AF2D81"/>
    <w:rsid w:val="00AF3824"/>
    <w:rsid w:val="00AF6E2E"/>
    <w:rsid w:val="00B04182"/>
    <w:rsid w:val="00B05ECF"/>
    <w:rsid w:val="00B07767"/>
    <w:rsid w:val="00B07AE3"/>
    <w:rsid w:val="00B11430"/>
    <w:rsid w:val="00B12A5D"/>
    <w:rsid w:val="00B221A5"/>
    <w:rsid w:val="00B242F4"/>
    <w:rsid w:val="00B2477A"/>
    <w:rsid w:val="00B24D1C"/>
    <w:rsid w:val="00B24ED2"/>
    <w:rsid w:val="00B30072"/>
    <w:rsid w:val="00B3008A"/>
    <w:rsid w:val="00B30481"/>
    <w:rsid w:val="00B3121A"/>
    <w:rsid w:val="00B3312F"/>
    <w:rsid w:val="00B353EB"/>
    <w:rsid w:val="00B365A8"/>
    <w:rsid w:val="00B37FBE"/>
    <w:rsid w:val="00B4016F"/>
    <w:rsid w:val="00B407AC"/>
    <w:rsid w:val="00B439C4"/>
    <w:rsid w:val="00B4535E"/>
    <w:rsid w:val="00B5106B"/>
    <w:rsid w:val="00B52A8C"/>
    <w:rsid w:val="00B54707"/>
    <w:rsid w:val="00B558AA"/>
    <w:rsid w:val="00B56155"/>
    <w:rsid w:val="00B562BB"/>
    <w:rsid w:val="00B5778F"/>
    <w:rsid w:val="00B60208"/>
    <w:rsid w:val="00B62F11"/>
    <w:rsid w:val="00B63042"/>
    <w:rsid w:val="00B636A8"/>
    <w:rsid w:val="00B644F4"/>
    <w:rsid w:val="00B665C6"/>
    <w:rsid w:val="00B6719E"/>
    <w:rsid w:val="00B72AD8"/>
    <w:rsid w:val="00B74441"/>
    <w:rsid w:val="00B758A5"/>
    <w:rsid w:val="00B77926"/>
    <w:rsid w:val="00B80175"/>
    <w:rsid w:val="00B805AF"/>
    <w:rsid w:val="00B82BD5"/>
    <w:rsid w:val="00B856DE"/>
    <w:rsid w:val="00B869EC"/>
    <w:rsid w:val="00B92383"/>
    <w:rsid w:val="00B9397A"/>
    <w:rsid w:val="00B94E48"/>
    <w:rsid w:val="00B9633D"/>
    <w:rsid w:val="00B967D5"/>
    <w:rsid w:val="00BA2283"/>
    <w:rsid w:val="00BA2EBE"/>
    <w:rsid w:val="00BA4137"/>
    <w:rsid w:val="00BB08FB"/>
    <w:rsid w:val="00BB0F28"/>
    <w:rsid w:val="00BB2FA0"/>
    <w:rsid w:val="00BB458A"/>
    <w:rsid w:val="00BB693F"/>
    <w:rsid w:val="00BB6C11"/>
    <w:rsid w:val="00BB7A47"/>
    <w:rsid w:val="00BC08B3"/>
    <w:rsid w:val="00BC11BB"/>
    <w:rsid w:val="00BC1831"/>
    <w:rsid w:val="00BC3537"/>
    <w:rsid w:val="00BC5953"/>
    <w:rsid w:val="00BC6A33"/>
    <w:rsid w:val="00BD00D3"/>
    <w:rsid w:val="00BD1659"/>
    <w:rsid w:val="00BD2A92"/>
    <w:rsid w:val="00BD351D"/>
    <w:rsid w:val="00BD3AA9"/>
    <w:rsid w:val="00BD4A18"/>
    <w:rsid w:val="00BD6DB2"/>
    <w:rsid w:val="00BD73A1"/>
    <w:rsid w:val="00BD7628"/>
    <w:rsid w:val="00BD78BC"/>
    <w:rsid w:val="00BE11CF"/>
    <w:rsid w:val="00BE21AB"/>
    <w:rsid w:val="00BE50FC"/>
    <w:rsid w:val="00BE51A3"/>
    <w:rsid w:val="00BE55CB"/>
    <w:rsid w:val="00BE6431"/>
    <w:rsid w:val="00BE7067"/>
    <w:rsid w:val="00BE717B"/>
    <w:rsid w:val="00BF3BB2"/>
    <w:rsid w:val="00BF47B9"/>
    <w:rsid w:val="00BF617A"/>
    <w:rsid w:val="00C01EF6"/>
    <w:rsid w:val="00C0270C"/>
    <w:rsid w:val="00C0379D"/>
    <w:rsid w:val="00C03931"/>
    <w:rsid w:val="00C05FE3"/>
    <w:rsid w:val="00C11DA9"/>
    <w:rsid w:val="00C130A1"/>
    <w:rsid w:val="00C134B3"/>
    <w:rsid w:val="00C2136D"/>
    <w:rsid w:val="00C214EE"/>
    <w:rsid w:val="00C2314B"/>
    <w:rsid w:val="00C23A02"/>
    <w:rsid w:val="00C23D44"/>
    <w:rsid w:val="00C244A0"/>
    <w:rsid w:val="00C24971"/>
    <w:rsid w:val="00C25355"/>
    <w:rsid w:val="00C25BCF"/>
    <w:rsid w:val="00C25F53"/>
    <w:rsid w:val="00C26BE5"/>
    <w:rsid w:val="00C26E4D"/>
    <w:rsid w:val="00C27909"/>
    <w:rsid w:val="00C27B03"/>
    <w:rsid w:val="00C314E1"/>
    <w:rsid w:val="00C32845"/>
    <w:rsid w:val="00C34397"/>
    <w:rsid w:val="00C36A6E"/>
    <w:rsid w:val="00C40503"/>
    <w:rsid w:val="00C4095D"/>
    <w:rsid w:val="00C41AC5"/>
    <w:rsid w:val="00C42CE7"/>
    <w:rsid w:val="00C43E8B"/>
    <w:rsid w:val="00C52503"/>
    <w:rsid w:val="00C5351D"/>
    <w:rsid w:val="00C54048"/>
    <w:rsid w:val="00C55B11"/>
    <w:rsid w:val="00C57A9C"/>
    <w:rsid w:val="00C601D2"/>
    <w:rsid w:val="00C60AF5"/>
    <w:rsid w:val="00C63363"/>
    <w:rsid w:val="00C65BCC"/>
    <w:rsid w:val="00C66970"/>
    <w:rsid w:val="00C71BAF"/>
    <w:rsid w:val="00C71F4D"/>
    <w:rsid w:val="00C75B2C"/>
    <w:rsid w:val="00C803C0"/>
    <w:rsid w:val="00C809E9"/>
    <w:rsid w:val="00C83B3B"/>
    <w:rsid w:val="00C85715"/>
    <w:rsid w:val="00C8691C"/>
    <w:rsid w:val="00C86CB4"/>
    <w:rsid w:val="00C87CCC"/>
    <w:rsid w:val="00C90BCA"/>
    <w:rsid w:val="00C94117"/>
    <w:rsid w:val="00C96295"/>
    <w:rsid w:val="00C96364"/>
    <w:rsid w:val="00C96E8C"/>
    <w:rsid w:val="00CA03DF"/>
    <w:rsid w:val="00CA168A"/>
    <w:rsid w:val="00CA1900"/>
    <w:rsid w:val="00CA1CF8"/>
    <w:rsid w:val="00CA2097"/>
    <w:rsid w:val="00CA2D24"/>
    <w:rsid w:val="00CA357E"/>
    <w:rsid w:val="00CA3995"/>
    <w:rsid w:val="00CA44F9"/>
    <w:rsid w:val="00CA4A69"/>
    <w:rsid w:val="00CA794D"/>
    <w:rsid w:val="00CB13FF"/>
    <w:rsid w:val="00CB1CAD"/>
    <w:rsid w:val="00CB1F15"/>
    <w:rsid w:val="00CB359F"/>
    <w:rsid w:val="00CB40D0"/>
    <w:rsid w:val="00CB722E"/>
    <w:rsid w:val="00CC0DEA"/>
    <w:rsid w:val="00CC1D34"/>
    <w:rsid w:val="00CC2795"/>
    <w:rsid w:val="00CC3132"/>
    <w:rsid w:val="00CC3E0C"/>
    <w:rsid w:val="00CC58D3"/>
    <w:rsid w:val="00CC784D"/>
    <w:rsid w:val="00CD2A5A"/>
    <w:rsid w:val="00CD42B2"/>
    <w:rsid w:val="00CD5DBA"/>
    <w:rsid w:val="00CD70BC"/>
    <w:rsid w:val="00CE0E41"/>
    <w:rsid w:val="00CE1396"/>
    <w:rsid w:val="00CE1735"/>
    <w:rsid w:val="00CE1AD2"/>
    <w:rsid w:val="00CE3593"/>
    <w:rsid w:val="00CE3DA7"/>
    <w:rsid w:val="00CF05D8"/>
    <w:rsid w:val="00CF1E15"/>
    <w:rsid w:val="00CF33CB"/>
    <w:rsid w:val="00CF7528"/>
    <w:rsid w:val="00CF77EE"/>
    <w:rsid w:val="00D00192"/>
    <w:rsid w:val="00D00A8D"/>
    <w:rsid w:val="00D03268"/>
    <w:rsid w:val="00D0337B"/>
    <w:rsid w:val="00D07470"/>
    <w:rsid w:val="00D07777"/>
    <w:rsid w:val="00D079B2"/>
    <w:rsid w:val="00D114E9"/>
    <w:rsid w:val="00D13872"/>
    <w:rsid w:val="00D151D7"/>
    <w:rsid w:val="00D15441"/>
    <w:rsid w:val="00D17CD8"/>
    <w:rsid w:val="00D239D6"/>
    <w:rsid w:val="00D246E5"/>
    <w:rsid w:val="00D2527C"/>
    <w:rsid w:val="00D25E65"/>
    <w:rsid w:val="00D267CE"/>
    <w:rsid w:val="00D313B3"/>
    <w:rsid w:val="00D317BA"/>
    <w:rsid w:val="00D34752"/>
    <w:rsid w:val="00D35B8E"/>
    <w:rsid w:val="00D36087"/>
    <w:rsid w:val="00D37490"/>
    <w:rsid w:val="00D40A48"/>
    <w:rsid w:val="00D40F07"/>
    <w:rsid w:val="00D429C6"/>
    <w:rsid w:val="00D42BA6"/>
    <w:rsid w:val="00D47748"/>
    <w:rsid w:val="00D47DFB"/>
    <w:rsid w:val="00D50CDC"/>
    <w:rsid w:val="00D50F3F"/>
    <w:rsid w:val="00D51083"/>
    <w:rsid w:val="00D5178F"/>
    <w:rsid w:val="00D518DF"/>
    <w:rsid w:val="00D51C80"/>
    <w:rsid w:val="00D54683"/>
    <w:rsid w:val="00D54CC3"/>
    <w:rsid w:val="00D56932"/>
    <w:rsid w:val="00D5756F"/>
    <w:rsid w:val="00D6041A"/>
    <w:rsid w:val="00D61258"/>
    <w:rsid w:val="00D633EB"/>
    <w:rsid w:val="00D63F6B"/>
    <w:rsid w:val="00D6666E"/>
    <w:rsid w:val="00D666F7"/>
    <w:rsid w:val="00D7019D"/>
    <w:rsid w:val="00D72B0C"/>
    <w:rsid w:val="00D72DDE"/>
    <w:rsid w:val="00D72DDF"/>
    <w:rsid w:val="00D736AC"/>
    <w:rsid w:val="00D7384E"/>
    <w:rsid w:val="00D747AA"/>
    <w:rsid w:val="00D75A7E"/>
    <w:rsid w:val="00D81DC1"/>
    <w:rsid w:val="00D81E2B"/>
    <w:rsid w:val="00D82FF7"/>
    <w:rsid w:val="00D84271"/>
    <w:rsid w:val="00D847FE"/>
    <w:rsid w:val="00D85D88"/>
    <w:rsid w:val="00D86B9C"/>
    <w:rsid w:val="00D900CD"/>
    <w:rsid w:val="00D90A39"/>
    <w:rsid w:val="00D90ED4"/>
    <w:rsid w:val="00D93F27"/>
    <w:rsid w:val="00D958D6"/>
    <w:rsid w:val="00D964EA"/>
    <w:rsid w:val="00D966D0"/>
    <w:rsid w:val="00D976C2"/>
    <w:rsid w:val="00DA0C59"/>
    <w:rsid w:val="00DA3991"/>
    <w:rsid w:val="00DA4A69"/>
    <w:rsid w:val="00DA72A1"/>
    <w:rsid w:val="00DA7F95"/>
    <w:rsid w:val="00DB01F1"/>
    <w:rsid w:val="00DB2655"/>
    <w:rsid w:val="00DB3222"/>
    <w:rsid w:val="00DB72B1"/>
    <w:rsid w:val="00DB7E6C"/>
    <w:rsid w:val="00DC26B3"/>
    <w:rsid w:val="00DC4F68"/>
    <w:rsid w:val="00DC53B0"/>
    <w:rsid w:val="00DC57F0"/>
    <w:rsid w:val="00DC64B0"/>
    <w:rsid w:val="00DC6B1E"/>
    <w:rsid w:val="00DD125B"/>
    <w:rsid w:val="00DD252A"/>
    <w:rsid w:val="00DD274E"/>
    <w:rsid w:val="00DD35B8"/>
    <w:rsid w:val="00DD44EB"/>
    <w:rsid w:val="00DD5949"/>
    <w:rsid w:val="00DD5A29"/>
    <w:rsid w:val="00DD5A71"/>
    <w:rsid w:val="00DD5D9D"/>
    <w:rsid w:val="00DD6427"/>
    <w:rsid w:val="00DD6955"/>
    <w:rsid w:val="00DD7137"/>
    <w:rsid w:val="00DE0199"/>
    <w:rsid w:val="00DE251E"/>
    <w:rsid w:val="00DE28ED"/>
    <w:rsid w:val="00DE2A5A"/>
    <w:rsid w:val="00DE3239"/>
    <w:rsid w:val="00DE35CB"/>
    <w:rsid w:val="00DE428C"/>
    <w:rsid w:val="00DE46AF"/>
    <w:rsid w:val="00DE6DEB"/>
    <w:rsid w:val="00DE779C"/>
    <w:rsid w:val="00DE7CC4"/>
    <w:rsid w:val="00DF0EF0"/>
    <w:rsid w:val="00DF21E9"/>
    <w:rsid w:val="00DF22C7"/>
    <w:rsid w:val="00DF2325"/>
    <w:rsid w:val="00DF54C3"/>
    <w:rsid w:val="00DF5588"/>
    <w:rsid w:val="00DF5CC9"/>
    <w:rsid w:val="00DF66DD"/>
    <w:rsid w:val="00DF66F6"/>
    <w:rsid w:val="00DF7CF3"/>
    <w:rsid w:val="00E001C3"/>
    <w:rsid w:val="00E005D3"/>
    <w:rsid w:val="00E00C14"/>
    <w:rsid w:val="00E00F14"/>
    <w:rsid w:val="00E01CB8"/>
    <w:rsid w:val="00E03832"/>
    <w:rsid w:val="00E06386"/>
    <w:rsid w:val="00E075C5"/>
    <w:rsid w:val="00E1051A"/>
    <w:rsid w:val="00E1082B"/>
    <w:rsid w:val="00E111F3"/>
    <w:rsid w:val="00E11668"/>
    <w:rsid w:val="00E118E7"/>
    <w:rsid w:val="00E122B7"/>
    <w:rsid w:val="00E13ED1"/>
    <w:rsid w:val="00E17CE9"/>
    <w:rsid w:val="00E21B55"/>
    <w:rsid w:val="00E221D3"/>
    <w:rsid w:val="00E24958"/>
    <w:rsid w:val="00E24EB4"/>
    <w:rsid w:val="00E24FFD"/>
    <w:rsid w:val="00E25DD8"/>
    <w:rsid w:val="00E27197"/>
    <w:rsid w:val="00E30635"/>
    <w:rsid w:val="00E320ED"/>
    <w:rsid w:val="00E32143"/>
    <w:rsid w:val="00E33AFB"/>
    <w:rsid w:val="00E34218"/>
    <w:rsid w:val="00E404F3"/>
    <w:rsid w:val="00E40D22"/>
    <w:rsid w:val="00E41E07"/>
    <w:rsid w:val="00E44608"/>
    <w:rsid w:val="00E4555B"/>
    <w:rsid w:val="00E46282"/>
    <w:rsid w:val="00E50439"/>
    <w:rsid w:val="00E5216E"/>
    <w:rsid w:val="00E53FBB"/>
    <w:rsid w:val="00E540CF"/>
    <w:rsid w:val="00E54AA0"/>
    <w:rsid w:val="00E54F25"/>
    <w:rsid w:val="00E5529C"/>
    <w:rsid w:val="00E56438"/>
    <w:rsid w:val="00E569EB"/>
    <w:rsid w:val="00E57021"/>
    <w:rsid w:val="00E57626"/>
    <w:rsid w:val="00E611F4"/>
    <w:rsid w:val="00E62C0E"/>
    <w:rsid w:val="00E635FA"/>
    <w:rsid w:val="00E657C6"/>
    <w:rsid w:val="00E65D05"/>
    <w:rsid w:val="00E66BCD"/>
    <w:rsid w:val="00E74CA5"/>
    <w:rsid w:val="00E758A5"/>
    <w:rsid w:val="00E75D40"/>
    <w:rsid w:val="00E80738"/>
    <w:rsid w:val="00E80EB9"/>
    <w:rsid w:val="00E81965"/>
    <w:rsid w:val="00E81A88"/>
    <w:rsid w:val="00E81CC8"/>
    <w:rsid w:val="00E82344"/>
    <w:rsid w:val="00E84C82"/>
    <w:rsid w:val="00E84D64"/>
    <w:rsid w:val="00E85341"/>
    <w:rsid w:val="00E869FA"/>
    <w:rsid w:val="00E87408"/>
    <w:rsid w:val="00E914C4"/>
    <w:rsid w:val="00E933E5"/>
    <w:rsid w:val="00E934F5"/>
    <w:rsid w:val="00E93C29"/>
    <w:rsid w:val="00E95315"/>
    <w:rsid w:val="00E96961"/>
    <w:rsid w:val="00EA07CE"/>
    <w:rsid w:val="00EA2BBC"/>
    <w:rsid w:val="00EA43E0"/>
    <w:rsid w:val="00EA5600"/>
    <w:rsid w:val="00EA63AF"/>
    <w:rsid w:val="00EA7259"/>
    <w:rsid w:val="00EA72EC"/>
    <w:rsid w:val="00EB0593"/>
    <w:rsid w:val="00EB11CB"/>
    <w:rsid w:val="00EB1C71"/>
    <w:rsid w:val="00EB275A"/>
    <w:rsid w:val="00EB3EFC"/>
    <w:rsid w:val="00EB3F14"/>
    <w:rsid w:val="00EB57CA"/>
    <w:rsid w:val="00EB786A"/>
    <w:rsid w:val="00EC1578"/>
    <w:rsid w:val="00EC1BFC"/>
    <w:rsid w:val="00EC1C72"/>
    <w:rsid w:val="00EC3356"/>
    <w:rsid w:val="00EC3CC9"/>
    <w:rsid w:val="00EC5D85"/>
    <w:rsid w:val="00EC649B"/>
    <w:rsid w:val="00EC680A"/>
    <w:rsid w:val="00ED277E"/>
    <w:rsid w:val="00ED4F91"/>
    <w:rsid w:val="00ED50F2"/>
    <w:rsid w:val="00ED511C"/>
    <w:rsid w:val="00ED6DEE"/>
    <w:rsid w:val="00ED7229"/>
    <w:rsid w:val="00EE25CB"/>
    <w:rsid w:val="00EE2A7D"/>
    <w:rsid w:val="00EE2BED"/>
    <w:rsid w:val="00EE374B"/>
    <w:rsid w:val="00EE4A87"/>
    <w:rsid w:val="00EE4BE2"/>
    <w:rsid w:val="00EE506C"/>
    <w:rsid w:val="00EE61E1"/>
    <w:rsid w:val="00EF2869"/>
    <w:rsid w:val="00EF5540"/>
    <w:rsid w:val="00EF60BD"/>
    <w:rsid w:val="00EF636C"/>
    <w:rsid w:val="00EF7C08"/>
    <w:rsid w:val="00F032ED"/>
    <w:rsid w:val="00F05D60"/>
    <w:rsid w:val="00F07224"/>
    <w:rsid w:val="00F07FD3"/>
    <w:rsid w:val="00F10159"/>
    <w:rsid w:val="00F106EA"/>
    <w:rsid w:val="00F1096C"/>
    <w:rsid w:val="00F11BB5"/>
    <w:rsid w:val="00F1296C"/>
    <w:rsid w:val="00F12972"/>
    <w:rsid w:val="00F14102"/>
    <w:rsid w:val="00F1417B"/>
    <w:rsid w:val="00F1712D"/>
    <w:rsid w:val="00F174F5"/>
    <w:rsid w:val="00F17931"/>
    <w:rsid w:val="00F17A17"/>
    <w:rsid w:val="00F20218"/>
    <w:rsid w:val="00F208A0"/>
    <w:rsid w:val="00F2115E"/>
    <w:rsid w:val="00F21634"/>
    <w:rsid w:val="00F25FBF"/>
    <w:rsid w:val="00F27B3D"/>
    <w:rsid w:val="00F30ABD"/>
    <w:rsid w:val="00F310E4"/>
    <w:rsid w:val="00F316BF"/>
    <w:rsid w:val="00F31791"/>
    <w:rsid w:val="00F3355B"/>
    <w:rsid w:val="00F33AF5"/>
    <w:rsid w:val="00F34B99"/>
    <w:rsid w:val="00F40B02"/>
    <w:rsid w:val="00F41E81"/>
    <w:rsid w:val="00F44375"/>
    <w:rsid w:val="00F475F9"/>
    <w:rsid w:val="00F51368"/>
    <w:rsid w:val="00F51720"/>
    <w:rsid w:val="00F51CF2"/>
    <w:rsid w:val="00F52883"/>
    <w:rsid w:val="00F52DAB"/>
    <w:rsid w:val="00F543F0"/>
    <w:rsid w:val="00F55E3E"/>
    <w:rsid w:val="00F57601"/>
    <w:rsid w:val="00F62196"/>
    <w:rsid w:val="00F64F16"/>
    <w:rsid w:val="00F66147"/>
    <w:rsid w:val="00F6651E"/>
    <w:rsid w:val="00F72CB9"/>
    <w:rsid w:val="00F73F99"/>
    <w:rsid w:val="00F740EB"/>
    <w:rsid w:val="00F75F80"/>
    <w:rsid w:val="00F81D29"/>
    <w:rsid w:val="00F8282F"/>
    <w:rsid w:val="00F83905"/>
    <w:rsid w:val="00F84899"/>
    <w:rsid w:val="00F8534E"/>
    <w:rsid w:val="00F857B8"/>
    <w:rsid w:val="00F87925"/>
    <w:rsid w:val="00F90BE5"/>
    <w:rsid w:val="00F91C4D"/>
    <w:rsid w:val="00F923E5"/>
    <w:rsid w:val="00F92FD9"/>
    <w:rsid w:val="00FA37B1"/>
    <w:rsid w:val="00FA3E0B"/>
    <w:rsid w:val="00FA5AC9"/>
    <w:rsid w:val="00FA5EF7"/>
    <w:rsid w:val="00FA6684"/>
    <w:rsid w:val="00FA731E"/>
    <w:rsid w:val="00FA7573"/>
    <w:rsid w:val="00FA7BD0"/>
    <w:rsid w:val="00FB0215"/>
    <w:rsid w:val="00FB043D"/>
    <w:rsid w:val="00FB1C1C"/>
    <w:rsid w:val="00FB1DCF"/>
    <w:rsid w:val="00FB26B2"/>
    <w:rsid w:val="00FB2B38"/>
    <w:rsid w:val="00FB4C48"/>
    <w:rsid w:val="00FB61CE"/>
    <w:rsid w:val="00FB63FE"/>
    <w:rsid w:val="00FB7717"/>
    <w:rsid w:val="00FB7A07"/>
    <w:rsid w:val="00FC02F8"/>
    <w:rsid w:val="00FC04CC"/>
    <w:rsid w:val="00FC2066"/>
    <w:rsid w:val="00FC29D4"/>
    <w:rsid w:val="00FC5420"/>
    <w:rsid w:val="00FC61E2"/>
    <w:rsid w:val="00FC6358"/>
    <w:rsid w:val="00FD048C"/>
    <w:rsid w:val="00FD1381"/>
    <w:rsid w:val="00FD320D"/>
    <w:rsid w:val="00FE0811"/>
    <w:rsid w:val="00FE1B98"/>
    <w:rsid w:val="00FE23DE"/>
    <w:rsid w:val="00FF1801"/>
    <w:rsid w:val="00FF1805"/>
    <w:rsid w:val="00FF6842"/>
    <w:rsid w:val="01EE3DEE"/>
    <w:rsid w:val="029070A0"/>
    <w:rsid w:val="04563218"/>
    <w:rsid w:val="04A64D6A"/>
    <w:rsid w:val="04B25105"/>
    <w:rsid w:val="05191BCC"/>
    <w:rsid w:val="05583B8B"/>
    <w:rsid w:val="05EA06E6"/>
    <w:rsid w:val="07235258"/>
    <w:rsid w:val="07565195"/>
    <w:rsid w:val="07B51825"/>
    <w:rsid w:val="08EF23EB"/>
    <w:rsid w:val="08FB5391"/>
    <w:rsid w:val="09671489"/>
    <w:rsid w:val="096A0E22"/>
    <w:rsid w:val="0AE21606"/>
    <w:rsid w:val="0AEF77A4"/>
    <w:rsid w:val="0B821D4D"/>
    <w:rsid w:val="0B9C2483"/>
    <w:rsid w:val="0C2317E0"/>
    <w:rsid w:val="0C271144"/>
    <w:rsid w:val="0C370BB5"/>
    <w:rsid w:val="0CA41025"/>
    <w:rsid w:val="0D364F65"/>
    <w:rsid w:val="0E115A89"/>
    <w:rsid w:val="0E986E61"/>
    <w:rsid w:val="0ED742DB"/>
    <w:rsid w:val="0F674586"/>
    <w:rsid w:val="0F972678"/>
    <w:rsid w:val="0FF812B4"/>
    <w:rsid w:val="10192B4E"/>
    <w:rsid w:val="112D5C50"/>
    <w:rsid w:val="11CB47DF"/>
    <w:rsid w:val="12610568"/>
    <w:rsid w:val="131367CF"/>
    <w:rsid w:val="144041ED"/>
    <w:rsid w:val="14E2368A"/>
    <w:rsid w:val="15022BE5"/>
    <w:rsid w:val="15093063"/>
    <w:rsid w:val="1512184D"/>
    <w:rsid w:val="15506E40"/>
    <w:rsid w:val="15576248"/>
    <w:rsid w:val="15BC4597"/>
    <w:rsid w:val="171F3459"/>
    <w:rsid w:val="179217AA"/>
    <w:rsid w:val="18E9353A"/>
    <w:rsid w:val="18F64ED3"/>
    <w:rsid w:val="19456A46"/>
    <w:rsid w:val="19646385"/>
    <w:rsid w:val="19A937A9"/>
    <w:rsid w:val="19AB7EFC"/>
    <w:rsid w:val="1AAD4EAD"/>
    <w:rsid w:val="1BFB31F6"/>
    <w:rsid w:val="1CF31979"/>
    <w:rsid w:val="1D7A6F6C"/>
    <w:rsid w:val="1DB502F7"/>
    <w:rsid w:val="1DD07573"/>
    <w:rsid w:val="1E705DB5"/>
    <w:rsid w:val="2020322B"/>
    <w:rsid w:val="20CC2E7B"/>
    <w:rsid w:val="2102441B"/>
    <w:rsid w:val="21461AAF"/>
    <w:rsid w:val="244560F1"/>
    <w:rsid w:val="25BE7278"/>
    <w:rsid w:val="26025BE4"/>
    <w:rsid w:val="2612163C"/>
    <w:rsid w:val="265D7B0E"/>
    <w:rsid w:val="27111F2F"/>
    <w:rsid w:val="27EE1109"/>
    <w:rsid w:val="29AF19BE"/>
    <w:rsid w:val="29FE6E6C"/>
    <w:rsid w:val="2AFA7B7C"/>
    <w:rsid w:val="2C701689"/>
    <w:rsid w:val="2C9F6098"/>
    <w:rsid w:val="2D152F16"/>
    <w:rsid w:val="2D430DC2"/>
    <w:rsid w:val="2E5A3DAC"/>
    <w:rsid w:val="2ECF5FFB"/>
    <w:rsid w:val="2FA770C7"/>
    <w:rsid w:val="2FC40BB7"/>
    <w:rsid w:val="2FE749FE"/>
    <w:rsid w:val="306560DE"/>
    <w:rsid w:val="30950492"/>
    <w:rsid w:val="31165068"/>
    <w:rsid w:val="31995D21"/>
    <w:rsid w:val="31D72E78"/>
    <w:rsid w:val="33171AE0"/>
    <w:rsid w:val="339B6802"/>
    <w:rsid w:val="33A264B2"/>
    <w:rsid w:val="33C24EAB"/>
    <w:rsid w:val="342E3F3F"/>
    <w:rsid w:val="346D441F"/>
    <w:rsid w:val="35D84B1F"/>
    <w:rsid w:val="35DC5D5C"/>
    <w:rsid w:val="373E2006"/>
    <w:rsid w:val="387A10C7"/>
    <w:rsid w:val="393416B8"/>
    <w:rsid w:val="39C47017"/>
    <w:rsid w:val="39CE2791"/>
    <w:rsid w:val="3A090092"/>
    <w:rsid w:val="3ACD0039"/>
    <w:rsid w:val="3B4E7B72"/>
    <w:rsid w:val="3C2327E1"/>
    <w:rsid w:val="3D6144D2"/>
    <w:rsid w:val="3EB953C6"/>
    <w:rsid w:val="41C95C96"/>
    <w:rsid w:val="42DD1620"/>
    <w:rsid w:val="43E22C96"/>
    <w:rsid w:val="454767FC"/>
    <w:rsid w:val="4863496E"/>
    <w:rsid w:val="48B512AF"/>
    <w:rsid w:val="49393654"/>
    <w:rsid w:val="497B08BF"/>
    <w:rsid w:val="4ACC7228"/>
    <w:rsid w:val="4AD63215"/>
    <w:rsid w:val="4D84103D"/>
    <w:rsid w:val="4D8E681C"/>
    <w:rsid w:val="4DB90A9D"/>
    <w:rsid w:val="4F0F019B"/>
    <w:rsid w:val="4F1020ED"/>
    <w:rsid w:val="50B119DF"/>
    <w:rsid w:val="511D31CD"/>
    <w:rsid w:val="51501312"/>
    <w:rsid w:val="519E087B"/>
    <w:rsid w:val="52227274"/>
    <w:rsid w:val="52DC7659"/>
    <w:rsid w:val="52FF3448"/>
    <w:rsid w:val="530D16BB"/>
    <w:rsid w:val="5344090E"/>
    <w:rsid w:val="53C600AB"/>
    <w:rsid w:val="54955B7D"/>
    <w:rsid w:val="54C30F81"/>
    <w:rsid w:val="556C694E"/>
    <w:rsid w:val="55A772AB"/>
    <w:rsid w:val="56350DB4"/>
    <w:rsid w:val="56EA13B9"/>
    <w:rsid w:val="57D84C6E"/>
    <w:rsid w:val="586A153E"/>
    <w:rsid w:val="58834EE0"/>
    <w:rsid w:val="58A9355E"/>
    <w:rsid w:val="59723A5E"/>
    <w:rsid w:val="59810D63"/>
    <w:rsid w:val="5A586E6C"/>
    <w:rsid w:val="5B9E2856"/>
    <w:rsid w:val="5BCE741F"/>
    <w:rsid w:val="5BFF272C"/>
    <w:rsid w:val="5C697490"/>
    <w:rsid w:val="5C7D6C21"/>
    <w:rsid w:val="5CE5561B"/>
    <w:rsid w:val="5DD0331F"/>
    <w:rsid w:val="5E003D96"/>
    <w:rsid w:val="5E304AB2"/>
    <w:rsid w:val="5E7F70C5"/>
    <w:rsid w:val="5EFB53AF"/>
    <w:rsid w:val="5FCE4A2E"/>
    <w:rsid w:val="607765E1"/>
    <w:rsid w:val="609357CB"/>
    <w:rsid w:val="610514FC"/>
    <w:rsid w:val="611B430D"/>
    <w:rsid w:val="61C268B5"/>
    <w:rsid w:val="6233054B"/>
    <w:rsid w:val="62397136"/>
    <w:rsid w:val="65213148"/>
    <w:rsid w:val="653A4394"/>
    <w:rsid w:val="656E627A"/>
    <w:rsid w:val="66660E25"/>
    <w:rsid w:val="66DC43CD"/>
    <w:rsid w:val="6780302A"/>
    <w:rsid w:val="67990BC0"/>
    <w:rsid w:val="68117F73"/>
    <w:rsid w:val="68FC6F49"/>
    <w:rsid w:val="692302C5"/>
    <w:rsid w:val="69AD478E"/>
    <w:rsid w:val="6AEA10C1"/>
    <w:rsid w:val="6B455DF8"/>
    <w:rsid w:val="6C773D59"/>
    <w:rsid w:val="6D7F6526"/>
    <w:rsid w:val="6DD905A9"/>
    <w:rsid w:val="6F043822"/>
    <w:rsid w:val="6F6C3357"/>
    <w:rsid w:val="708F4CF3"/>
    <w:rsid w:val="713B22DA"/>
    <w:rsid w:val="71D44215"/>
    <w:rsid w:val="72CF6675"/>
    <w:rsid w:val="73C77B04"/>
    <w:rsid w:val="73CF6461"/>
    <w:rsid w:val="73D324F0"/>
    <w:rsid w:val="74277C5E"/>
    <w:rsid w:val="74DD0B6D"/>
    <w:rsid w:val="77493F8A"/>
    <w:rsid w:val="77647EA8"/>
    <w:rsid w:val="785750FC"/>
    <w:rsid w:val="78D263E1"/>
    <w:rsid w:val="7942382B"/>
    <w:rsid w:val="7AE9230E"/>
    <w:rsid w:val="7BAA00B1"/>
    <w:rsid w:val="7E9E0DC9"/>
    <w:rsid w:val="7F4143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qFormat="1"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iPriority="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semiHidden/>
    <w:unhideWhenUsed/>
    <w:qFormat/>
    <w:uiPriority w:val="0"/>
    <w:pPr>
      <w:spacing w:beforeAutospacing="1" w:afterAutospacing="1"/>
      <w:jc w:val="left"/>
      <w:outlineLvl w:val="4"/>
    </w:pPr>
    <w:rPr>
      <w:rFonts w:hint="eastAsia" w:ascii="宋体" w:hAnsi="宋体"/>
      <w:b/>
      <w:bCs/>
      <w:kern w:val="0"/>
      <w:sz w:val="20"/>
      <w:szCs w:val="20"/>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semiHidden/>
    <w:qFormat/>
    <w:uiPriority w:val="0"/>
    <w:pPr>
      <w:tabs>
        <w:tab w:val="right" w:leader="dot" w:pos="9241"/>
      </w:tabs>
      <w:ind w:firstLine="500" w:firstLineChars="500"/>
      <w:jc w:val="left"/>
    </w:pPr>
    <w:rPr>
      <w:rFonts w:ascii="宋体"/>
      <w:szCs w:val="21"/>
    </w:rPr>
  </w:style>
  <w:style w:type="paragraph" w:styleId="4">
    <w:name w:val="index 8"/>
    <w:basedOn w:val="1"/>
    <w:next w:val="1"/>
    <w:qFormat/>
    <w:uiPriority w:val="0"/>
    <w:pPr>
      <w:ind w:left="1680" w:hanging="210"/>
      <w:jc w:val="left"/>
    </w:pPr>
    <w:rPr>
      <w:rFonts w:ascii="Calibri" w:hAnsi="Calibri"/>
      <w:sz w:val="20"/>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index 5"/>
    <w:basedOn w:val="1"/>
    <w:next w:val="1"/>
    <w:qFormat/>
    <w:uiPriority w:val="0"/>
    <w:pPr>
      <w:ind w:left="1050" w:hanging="210"/>
      <w:jc w:val="left"/>
    </w:pPr>
    <w:rPr>
      <w:rFonts w:ascii="Calibri" w:hAnsi="Calibri"/>
      <w:sz w:val="20"/>
      <w:szCs w:val="20"/>
    </w:rPr>
  </w:style>
  <w:style w:type="paragraph" w:styleId="7">
    <w:name w:val="Document Map"/>
    <w:basedOn w:val="1"/>
    <w:semiHidden/>
    <w:qFormat/>
    <w:uiPriority w:val="0"/>
    <w:pPr>
      <w:shd w:val="clear" w:color="auto" w:fill="000080"/>
    </w:pPr>
  </w:style>
  <w:style w:type="paragraph" w:styleId="8">
    <w:name w:val="annotation text"/>
    <w:basedOn w:val="1"/>
    <w:link w:val="144"/>
    <w:semiHidden/>
    <w:unhideWhenUsed/>
    <w:qFormat/>
    <w:uiPriority w:val="0"/>
    <w:pPr>
      <w:jc w:val="left"/>
    </w:pPr>
  </w:style>
  <w:style w:type="paragraph" w:styleId="9">
    <w:name w:val="index 6"/>
    <w:basedOn w:val="1"/>
    <w:next w:val="1"/>
    <w:qFormat/>
    <w:uiPriority w:val="0"/>
    <w:pPr>
      <w:ind w:left="1260" w:hanging="210"/>
      <w:jc w:val="left"/>
    </w:pPr>
    <w:rPr>
      <w:rFonts w:ascii="Calibri" w:hAnsi="Calibri"/>
      <w:sz w:val="20"/>
      <w:szCs w:val="20"/>
    </w:rPr>
  </w:style>
  <w:style w:type="paragraph" w:styleId="10">
    <w:name w:val="Body Text"/>
    <w:basedOn w:val="1"/>
    <w:qFormat/>
    <w:uiPriority w:val="1"/>
    <w:rPr>
      <w:rFonts w:ascii="宋体" w:hAnsi="宋体" w:cs="宋体"/>
      <w:szCs w:val="21"/>
      <w:lang w:val="zh-CN" w:bidi="zh-CN"/>
    </w:rPr>
  </w:style>
  <w:style w:type="paragraph" w:styleId="11">
    <w:name w:val="index 4"/>
    <w:basedOn w:val="1"/>
    <w:next w:val="1"/>
    <w:qFormat/>
    <w:uiPriority w:val="0"/>
    <w:pPr>
      <w:ind w:left="840" w:hanging="210"/>
      <w:jc w:val="left"/>
    </w:pPr>
    <w:rPr>
      <w:rFonts w:ascii="Calibri" w:hAnsi="Calibri"/>
      <w:sz w:val="20"/>
      <w:szCs w:val="20"/>
    </w:rPr>
  </w:style>
  <w:style w:type="paragraph" w:styleId="12">
    <w:name w:val="toc 5"/>
    <w:basedOn w:val="1"/>
    <w:next w:val="1"/>
    <w:semiHidden/>
    <w:qFormat/>
    <w:uiPriority w:val="0"/>
    <w:pPr>
      <w:tabs>
        <w:tab w:val="right" w:leader="dot" w:pos="9241"/>
      </w:tabs>
      <w:ind w:firstLine="300" w:firstLineChars="300"/>
      <w:jc w:val="left"/>
    </w:pPr>
    <w:rPr>
      <w:rFonts w:ascii="宋体"/>
      <w:szCs w:val="21"/>
    </w:rPr>
  </w:style>
  <w:style w:type="paragraph" w:styleId="13">
    <w:name w:val="toc 3"/>
    <w:basedOn w:val="1"/>
    <w:next w:val="1"/>
    <w:qFormat/>
    <w:uiPriority w:val="39"/>
    <w:pPr>
      <w:tabs>
        <w:tab w:val="right" w:leader="dot" w:pos="9241"/>
      </w:tabs>
      <w:ind w:firstLine="100" w:firstLineChars="100"/>
      <w:jc w:val="left"/>
    </w:pPr>
    <w:rPr>
      <w:rFonts w:ascii="宋体"/>
      <w:szCs w:val="21"/>
    </w:rPr>
  </w:style>
  <w:style w:type="paragraph" w:styleId="14">
    <w:name w:val="toc 8"/>
    <w:basedOn w:val="1"/>
    <w:next w:val="1"/>
    <w:semiHidden/>
    <w:qFormat/>
    <w:uiPriority w:val="0"/>
    <w:pPr>
      <w:tabs>
        <w:tab w:val="right" w:leader="dot" w:pos="9241"/>
      </w:tabs>
      <w:ind w:firstLine="607" w:firstLineChars="600"/>
      <w:jc w:val="left"/>
    </w:pPr>
    <w:rPr>
      <w:rFonts w:ascii="宋体"/>
      <w:szCs w:val="21"/>
    </w:rPr>
  </w:style>
  <w:style w:type="paragraph" w:styleId="15">
    <w:name w:val="index 3"/>
    <w:basedOn w:val="1"/>
    <w:next w:val="1"/>
    <w:qFormat/>
    <w:uiPriority w:val="0"/>
    <w:pPr>
      <w:ind w:left="630" w:hanging="210"/>
      <w:jc w:val="left"/>
    </w:pPr>
    <w:rPr>
      <w:rFonts w:ascii="Calibri" w:hAnsi="Calibri"/>
      <w:sz w:val="20"/>
      <w:szCs w:val="20"/>
    </w:rPr>
  </w:style>
  <w:style w:type="paragraph" w:styleId="16">
    <w:name w:val="endnote text"/>
    <w:basedOn w:val="1"/>
    <w:semiHidden/>
    <w:qFormat/>
    <w:uiPriority w:val="0"/>
    <w:pPr>
      <w:snapToGrid w:val="0"/>
      <w:jc w:val="left"/>
    </w:pPr>
  </w:style>
  <w:style w:type="paragraph" w:styleId="17">
    <w:name w:val="Balloon Text"/>
    <w:basedOn w:val="1"/>
    <w:link w:val="143"/>
    <w:qFormat/>
    <w:uiPriority w:val="0"/>
    <w:rPr>
      <w:sz w:val="18"/>
      <w:szCs w:val="18"/>
    </w:rPr>
  </w:style>
  <w:style w:type="paragraph" w:styleId="18">
    <w:name w:val="footer"/>
    <w:basedOn w:val="1"/>
    <w:link w:val="149"/>
    <w:qFormat/>
    <w:uiPriority w:val="99"/>
    <w:pPr>
      <w:snapToGrid w:val="0"/>
      <w:ind w:right="210" w:rightChars="100"/>
      <w:jc w:val="right"/>
    </w:pPr>
    <w:rPr>
      <w:sz w:val="18"/>
      <w:szCs w:val="18"/>
    </w:rPr>
  </w:style>
  <w:style w:type="paragraph" w:styleId="19">
    <w:name w:val="header"/>
    <w:basedOn w:val="1"/>
    <w:qFormat/>
    <w:uiPriority w:val="0"/>
    <w:pPr>
      <w:snapToGrid w:val="0"/>
      <w:jc w:val="left"/>
    </w:pPr>
    <w:rPr>
      <w:sz w:val="18"/>
      <w:szCs w:val="18"/>
    </w:rPr>
  </w:style>
  <w:style w:type="paragraph" w:styleId="20">
    <w:name w:val="toc 1"/>
    <w:basedOn w:val="1"/>
    <w:next w:val="1"/>
    <w:qFormat/>
    <w:uiPriority w:val="39"/>
    <w:pPr>
      <w:tabs>
        <w:tab w:val="right" w:leader="dot" w:pos="9242"/>
      </w:tabs>
      <w:spacing w:beforeLines="25" w:afterLines="25"/>
      <w:jc w:val="left"/>
    </w:pPr>
    <w:rPr>
      <w:rFonts w:ascii="宋体"/>
      <w:szCs w:val="21"/>
    </w:rPr>
  </w:style>
  <w:style w:type="paragraph" w:styleId="21">
    <w:name w:val="toc 4"/>
    <w:basedOn w:val="1"/>
    <w:next w:val="1"/>
    <w:semiHidden/>
    <w:qFormat/>
    <w:uiPriority w:val="0"/>
    <w:pPr>
      <w:tabs>
        <w:tab w:val="right" w:leader="dot" w:pos="9241"/>
      </w:tabs>
      <w:ind w:firstLine="200" w:firstLineChars="200"/>
      <w:jc w:val="left"/>
    </w:pPr>
    <w:rPr>
      <w:rFonts w:ascii="宋体"/>
      <w:szCs w:val="21"/>
    </w:rPr>
  </w:style>
  <w:style w:type="paragraph" w:styleId="22">
    <w:name w:val="index heading"/>
    <w:basedOn w:val="1"/>
    <w:next w:val="23"/>
    <w:qFormat/>
    <w:uiPriority w:val="0"/>
    <w:pPr>
      <w:spacing w:before="120" w:after="120"/>
      <w:jc w:val="center"/>
    </w:pPr>
    <w:rPr>
      <w:rFonts w:ascii="Calibri" w:hAnsi="Calibri"/>
      <w:b/>
      <w:bCs/>
      <w:iCs/>
      <w:szCs w:val="20"/>
    </w:rPr>
  </w:style>
  <w:style w:type="paragraph" w:styleId="23">
    <w:name w:val="index 1"/>
    <w:basedOn w:val="1"/>
    <w:next w:val="24"/>
    <w:qFormat/>
    <w:uiPriority w:val="0"/>
    <w:pPr>
      <w:tabs>
        <w:tab w:val="right" w:leader="dot" w:pos="9299"/>
      </w:tabs>
      <w:jc w:val="left"/>
    </w:pPr>
    <w:rPr>
      <w:rFonts w:ascii="宋体"/>
      <w:szCs w:val="21"/>
    </w:rPr>
  </w:style>
  <w:style w:type="paragraph" w:customStyle="1" w:styleId="24">
    <w:name w:val="段"/>
    <w:link w:val="4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5">
    <w:name w:val="footnote text"/>
    <w:basedOn w:val="1"/>
    <w:qFormat/>
    <w:uiPriority w:val="0"/>
    <w:pPr>
      <w:numPr>
        <w:ilvl w:val="0"/>
        <w:numId w:val="1"/>
      </w:numPr>
      <w:snapToGrid w:val="0"/>
      <w:jc w:val="left"/>
    </w:pPr>
    <w:rPr>
      <w:rFonts w:ascii="宋体"/>
      <w:sz w:val="18"/>
      <w:szCs w:val="18"/>
    </w:rPr>
  </w:style>
  <w:style w:type="paragraph" w:styleId="26">
    <w:name w:val="toc 6"/>
    <w:basedOn w:val="1"/>
    <w:next w:val="1"/>
    <w:semiHidden/>
    <w:qFormat/>
    <w:uiPriority w:val="0"/>
    <w:pPr>
      <w:tabs>
        <w:tab w:val="right" w:leader="dot" w:pos="9241"/>
      </w:tabs>
      <w:ind w:firstLine="400" w:firstLineChars="400"/>
      <w:jc w:val="left"/>
    </w:pPr>
    <w:rPr>
      <w:rFonts w:ascii="宋体"/>
      <w:szCs w:val="21"/>
    </w:rPr>
  </w:style>
  <w:style w:type="paragraph" w:styleId="27">
    <w:name w:val="index 7"/>
    <w:basedOn w:val="1"/>
    <w:next w:val="1"/>
    <w:qFormat/>
    <w:uiPriority w:val="0"/>
    <w:pPr>
      <w:ind w:left="1470" w:hanging="210"/>
      <w:jc w:val="left"/>
    </w:pPr>
    <w:rPr>
      <w:rFonts w:ascii="Calibri" w:hAnsi="Calibri"/>
      <w:sz w:val="20"/>
      <w:szCs w:val="20"/>
    </w:rPr>
  </w:style>
  <w:style w:type="paragraph" w:styleId="28">
    <w:name w:val="index 9"/>
    <w:basedOn w:val="1"/>
    <w:next w:val="1"/>
    <w:qFormat/>
    <w:uiPriority w:val="0"/>
    <w:pPr>
      <w:ind w:left="1890" w:hanging="210"/>
      <w:jc w:val="left"/>
    </w:pPr>
    <w:rPr>
      <w:rFonts w:ascii="Calibri" w:hAnsi="Calibri"/>
      <w:sz w:val="20"/>
      <w:szCs w:val="20"/>
    </w:rPr>
  </w:style>
  <w:style w:type="paragraph" w:styleId="29">
    <w:name w:val="toc 2"/>
    <w:basedOn w:val="1"/>
    <w:next w:val="1"/>
    <w:qFormat/>
    <w:uiPriority w:val="39"/>
    <w:pPr>
      <w:tabs>
        <w:tab w:val="right" w:leader="dot" w:pos="9242"/>
      </w:tabs>
    </w:pPr>
    <w:rPr>
      <w:rFonts w:ascii="宋体"/>
      <w:szCs w:val="21"/>
    </w:rPr>
  </w:style>
  <w:style w:type="paragraph" w:styleId="30">
    <w:name w:val="toc 9"/>
    <w:basedOn w:val="1"/>
    <w:next w:val="1"/>
    <w:semiHidden/>
    <w:qFormat/>
    <w:uiPriority w:val="0"/>
    <w:pPr>
      <w:ind w:left="1470"/>
      <w:jc w:val="left"/>
    </w:pPr>
    <w:rPr>
      <w:sz w:val="20"/>
      <w:szCs w:val="20"/>
    </w:rPr>
  </w:style>
  <w:style w:type="paragraph" w:styleId="31">
    <w:name w:val="index 2"/>
    <w:basedOn w:val="1"/>
    <w:next w:val="1"/>
    <w:qFormat/>
    <w:uiPriority w:val="0"/>
    <w:pPr>
      <w:ind w:left="420" w:hanging="210"/>
      <w:jc w:val="left"/>
    </w:pPr>
    <w:rPr>
      <w:rFonts w:ascii="Calibri" w:hAnsi="Calibri"/>
      <w:sz w:val="20"/>
      <w:szCs w:val="20"/>
    </w:rPr>
  </w:style>
  <w:style w:type="paragraph" w:styleId="32">
    <w:name w:val="Title"/>
    <w:basedOn w:val="1"/>
    <w:next w:val="1"/>
    <w:qFormat/>
    <w:uiPriority w:val="0"/>
    <w:pPr>
      <w:spacing w:before="240" w:after="60"/>
      <w:jc w:val="center"/>
      <w:outlineLvl w:val="0"/>
    </w:pPr>
    <w:rPr>
      <w:rFonts w:ascii="Cambria" w:hAnsi="Cambria"/>
      <w:b/>
      <w:bCs/>
      <w:sz w:val="32"/>
      <w:szCs w:val="32"/>
    </w:rPr>
  </w:style>
  <w:style w:type="paragraph" w:styleId="33">
    <w:name w:val="annotation subject"/>
    <w:basedOn w:val="8"/>
    <w:next w:val="8"/>
    <w:link w:val="145"/>
    <w:semiHidden/>
    <w:unhideWhenUsed/>
    <w:qFormat/>
    <w:uiPriority w:val="99"/>
    <w:rPr>
      <w:b/>
      <w:bCs/>
    </w:rPr>
  </w:style>
  <w:style w:type="table" w:styleId="35">
    <w:name w:val="Table Grid"/>
    <w:basedOn w:val="34"/>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endnote reference"/>
    <w:semiHidden/>
    <w:qFormat/>
    <w:uiPriority w:val="0"/>
    <w:rPr>
      <w:vertAlign w:val="superscript"/>
    </w:rPr>
  </w:style>
  <w:style w:type="character" w:styleId="38">
    <w:name w:val="page number"/>
    <w:qFormat/>
    <w:uiPriority w:val="0"/>
    <w:rPr>
      <w:rFonts w:ascii="Times New Roman" w:hAnsi="Times New Roman" w:eastAsia="宋体"/>
      <w:sz w:val="18"/>
    </w:rPr>
  </w:style>
  <w:style w:type="character" w:styleId="39">
    <w:name w:val="FollowedHyperlink"/>
    <w:qFormat/>
    <w:uiPriority w:val="0"/>
    <w:rPr>
      <w:color w:val="800080"/>
      <w:u w:val="single"/>
    </w:rPr>
  </w:style>
  <w:style w:type="character" w:styleId="40">
    <w:name w:val="Hyperlink"/>
    <w:qFormat/>
    <w:uiPriority w:val="99"/>
    <w:rPr>
      <w:color w:val="0000FF"/>
      <w:spacing w:val="0"/>
      <w:w w:val="100"/>
      <w:szCs w:val="21"/>
      <w:u w:val="single"/>
    </w:rPr>
  </w:style>
  <w:style w:type="character" w:styleId="41">
    <w:name w:val="annotation reference"/>
    <w:basedOn w:val="36"/>
    <w:semiHidden/>
    <w:unhideWhenUsed/>
    <w:qFormat/>
    <w:uiPriority w:val="0"/>
    <w:rPr>
      <w:sz w:val="21"/>
      <w:szCs w:val="21"/>
    </w:rPr>
  </w:style>
  <w:style w:type="character" w:styleId="42">
    <w:name w:val="footnote reference"/>
    <w:semiHidden/>
    <w:qFormat/>
    <w:uiPriority w:val="0"/>
    <w:rPr>
      <w:vertAlign w:val="superscript"/>
    </w:rPr>
  </w:style>
  <w:style w:type="character" w:customStyle="1" w:styleId="43">
    <w:name w:val="段 Char"/>
    <w:link w:val="24"/>
    <w:qFormat/>
    <w:uiPriority w:val="0"/>
    <w:rPr>
      <w:rFonts w:ascii="宋体"/>
      <w:sz w:val="21"/>
      <w:lang w:val="en-US" w:eastAsia="zh-CN" w:bidi="ar-SA"/>
    </w:rPr>
  </w:style>
  <w:style w:type="paragraph" w:customStyle="1" w:styleId="44">
    <w:name w:val="一级条标题"/>
    <w:next w:val="24"/>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45">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6">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7">
    <w:name w:val="章标题"/>
    <w:next w:val="24"/>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48">
    <w:name w:val="二级条标题"/>
    <w:basedOn w:val="44"/>
    <w:next w:val="24"/>
    <w:qFormat/>
    <w:uiPriority w:val="0"/>
    <w:pPr>
      <w:numPr>
        <w:ilvl w:val="2"/>
      </w:numPr>
      <w:spacing w:before="50" w:after="50"/>
      <w:ind w:left="0"/>
      <w:outlineLvl w:val="3"/>
    </w:pPr>
  </w:style>
  <w:style w:type="paragraph" w:customStyle="1" w:styleId="49">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0">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51">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2">
    <w:name w:val="目次、标准名称标题"/>
    <w:basedOn w:val="1"/>
    <w:next w:val="24"/>
    <w:link w:val="141"/>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3">
    <w:name w:val="三级条标题"/>
    <w:basedOn w:val="48"/>
    <w:next w:val="24"/>
    <w:qFormat/>
    <w:uiPriority w:val="0"/>
    <w:pPr>
      <w:numPr>
        <w:ilvl w:val="3"/>
      </w:numPr>
      <w:outlineLvl w:val="4"/>
    </w:pPr>
  </w:style>
  <w:style w:type="paragraph" w:customStyle="1" w:styleId="54">
    <w:name w:val="示例"/>
    <w:next w:val="55"/>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55">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6">
    <w:name w:val="数字编号列项（二级）"/>
    <w:qFormat/>
    <w:uiPriority w:val="0"/>
    <w:pPr>
      <w:numPr>
        <w:ilvl w:val="1"/>
        <w:numId w:val="5"/>
      </w:numPr>
      <w:tabs>
        <w:tab w:val="left" w:pos="839"/>
      </w:tabs>
      <w:jc w:val="both"/>
    </w:pPr>
    <w:rPr>
      <w:rFonts w:ascii="宋体" w:hAnsi="Times New Roman" w:eastAsia="宋体" w:cs="Times New Roman"/>
      <w:sz w:val="21"/>
      <w:lang w:val="en-US" w:eastAsia="zh-CN" w:bidi="ar-SA"/>
    </w:rPr>
  </w:style>
  <w:style w:type="paragraph" w:customStyle="1" w:styleId="57">
    <w:name w:val="四级条标题"/>
    <w:basedOn w:val="53"/>
    <w:next w:val="24"/>
    <w:qFormat/>
    <w:uiPriority w:val="0"/>
    <w:pPr>
      <w:numPr>
        <w:ilvl w:val="4"/>
      </w:numPr>
      <w:outlineLvl w:val="5"/>
    </w:pPr>
  </w:style>
  <w:style w:type="paragraph" w:customStyle="1" w:styleId="58">
    <w:name w:val="五级条标题"/>
    <w:basedOn w:val="57"/>
    <w:next w:val="24"/>
    <w:qFormat/>
    <w:uiPriority w:val="0"/>
    <w:pPr>
      <w:numPr>
        <w:ilvl w:val="5"/>
      </w:numPr>
      <w:outlineLvl w:val="6"/>
    </w:pPr>
  </w:style>
  <w:style w:type="paragraph" w:customStyle="1" w:styleId="59">
    <w:name w:val="注："/>
    <w:next w:val="24"/>
    <w:qFormat/>
    <w:uiPriority w:val="0"/>
    <w:pPr>
      <w:widowControl w:val="0"/>
      <w:numPr>
        <w:ilvl w:val="0"/>
        <w:numId w:val="6"/>
      </w:numPr>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60">
    <w:name w:val="注×："/>
    <w:qFormat/>
    <w:uiPriority w:val="0"/>
    <w:pPr>
      <w:widowControl w:val="0"/>
      <w:numPr>
        <w:ilvl w:val="0"/>
        <w:numId w:val="7"/>
      </w:numPr>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61">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62">
    <w:name w:val="列项◆（三级）"/>
    <w:basedOn w:val="1"/>
    <w:qFormat/>
    <w:uiPriority w:val="0"/>
    <w:pPr>
      <w:numPr>
        <w:ilvl w:val="2"/>
        <w:numId w:val="3"/>
      </w:numPr>
    </w:pPr>
    <w:rPr>
      <w:rFonts w:ascii="宋体"/>
      <w:szCs w:val="21"/>
    </w:rPr>
  </w:style>
  <w:style w:type="paragraph" w:customStyle="1" w:styleId="63">
    <w:name w:val="编号列项（三级）"/>
    <w:qFormat/>
    <w:uiPriority w:val="0"/>
    <w:pPr>
      <w:numPr>
        <w:ilvl w:val="2"/>
        <w:numId w:val="5"/>
      </w:numPr>
      <w:tabs>
        <w:tab w:val="left" w:pos="839"/>
      </w:tabs>
    </w:pPr>
    <w:rPr>
      <w:rFonts w:ascii="宋体" w:hAnsi="Times New Roman" w:eastAsia="宋体" w:cs="Times New Roman"/>
      <w:sz w:val="21"/>
      <w:lang w:val="en-US" w:eastAsia="zh-CN" w:bidi="ar-SA"/>
    </w:rPr>
  </w:style>
  <w:style w:type="paragraph" w:customStyle="1" w:styleId="64">
    <w:name w:val="示例×："/>
    <w:basedOn w:val="47"/>
    <w:qFormat/>
    <w:uiPriority w:val="0"/>
    <w:pPr>
      <w:numPr>
        <w:ilvl w:val="0"/>
        <w:numId w:val="8"/>
      </w:numPr>
      <w:spacing w:beforeLines="0" w:afterLines="0"/>
      <w:outlineLvl w:val="9"/>
    </w:pPr>
    <w:rPr>
      <w:rFonts w:ascii="宋体" w:eastAsia="宋体"/>
      <w:sz w:val="18"/>
      <w:szCs w:val="18"/>
    </w:rPr>
  </w:style>
  <w:style w:type="paragraph" w:customStyle="1" w:styleId="65">
    <w:name w:val="二级无"/>
    <w:basedOn w:val="48"/>
    <w:qFormat/>
    <w:uiPriority w:val="0"/>
    <w:pPr>
      <w:spacing w:beforeLines="0" w:afterLines="0"/>
    </w:pPr>
    <w:rPr>
      <w:rFonts w:ascii="宋体" w:eastAsia="宋体"/>
    </w:rPr>
  </w:style>
  <w:style w:type="paragraph" w:customStyle="1" w:styleId="66">
    <w:name w:val="注：（正文）"/>
    <w:basedOn w:val="59"/>
    <w:next w:val="24"/>
    <w:qFormat/>
    <w:uiPriority w:val="0"/>
    <w:pPr>
      <w:numPr>
        <w:numId w:val="9"/>
      </w:numPr>
      <w:ind w:left="726" w:hanging="363"/>
    </w:pPr>
  </w:style>
  <w:style w:type="paragraph" w:customStyle="1" w:styleId="67">
    <w:name w:val="注×：（正文）"/>
    <w:qFormat/>
    <w:uiPriority w:val="0"/>
    <w:pPr>
      <w:numPr>
        <w:ilvl w:val="0"/>
        <w:numId w:val="10"/>
      </w:numPr>
      <w:ind w:left="811" w:hanging="448"/>
      <w:jc w:val="both"/>
    </w:pPr>
    <w:rPr>
      <w:rFonts w:ascii="宋体" w:hAnsi="Times New Roman" w:eastAsia="宋体" w:cs="Times New Roman"/>
      <w:sz w:val="18"/>
      <w:szCs w:val="18"/>
      <w:lang w:val="en-US" w:eastAsia="zh-CN" w:bidi="ar-SA"/>
    </w:rPr>
  </w:style>
  <w:style w:type="paragraph" w:customStyle="1" w:styleId="68">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0">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1">
    <w:name w:val="标准书眉_偶数页"/>
    <w:basedOn w:val="46"/>
    <w:next w:val="1"/>
    <w:qFormat/>
    <w:uiPriority w:val="0"/>
    <w:pPr>
      <w:jc w:val="left"/>
    </w:pPr>
  </w:style>
  <w:style w:type="paragraph" w:customStyle="1" w:styleId="72">
    <w:name w:val="标准书眉一"/>
    <w:qFormat/>
    <w:uiPriority w:val="0"/>
    <w:pPr>
      <w:jc w:val="both"/>
    </w:pPr>
    <w:rPr>
      <w:rFonts w:ascii="Times New Roman" w:hAnsi="Times New Roman" w:eastAsia="宋体" w:cs="Times New Roman"/>
      <w:lang w:val="en-US" w:eastAsia="zh-CN" w:bidi="ar-SA"/>
    </w:rPr>
  </w:style>
  <w:style w:type="paragraph" w:customStyle="1" w:styleId="73">
    <w:name w:val="参考文献"/>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4">
    <w:name w:val="参考文献、索引标题"/>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5">
    <w:name w:val="发布"/>
    <w:qFormat/>
    <w:uiPriority w:val="0"/>
    <w:rPr>
      <w:rFonts w:ascii="黑体" w:eastAsia="黑体"/>
      <w:spacing w:val="85"/>
      <w:w w:val="100"/>
      <w:position w:val="3"/>
      <w:sz w:val="28"/>
      <w:szCs w:val="28"/>
    </w:rPr>
  </w:style>
  <w:style w:type="paragraph" w:customStyle="1" w:styleId="76">
    <w:name w:val="发布部门"/>
    <w:next w:val="24"/>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7">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8">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79">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1">
    <w:name w:val="封面标准英文名称"/>
    <w:basedOn w:val="80"/>
    <w:qFormat/>
    <w:uiPriority w:val="0"/>
    <w:pPr>
      <w:spacing w:before="370" w:line="400" w:lineRule="exact"/>
    </w:pPr>
    <w:rPr>
      <w:rFonts w:ascii="Times New Roman"/>
      <w:sz w:val="28"/>
      <w:szCs w:val="28"/>
    </w:rPr>
  </w:style>
  <w:style w:type="paragraph" w:customStyle="1" w:styleId="82">
    <w:name w:val="封面一致性程度标识"/>
    <w:basedOn w:val="81"/>
    <w:qFormat/>
    <w:uiPriority w:val="0"/>
    <w:pPr>
      <w:spacing w:before="440"/>
    </w:pPr>
    <w:rPr>
      <w:rFonts w:ascii="宋体" w:eastAsia="宋体"/>
    </w:rPr>
  </w:style>
  <w:style w:type="paragraph" w:customStyle="1" w:styleId="83">
    <w:name w:val="封面标准文稿类别"/>
    <w:basedOn w:val="82"/>
    <w:qFormat/>
    <w:uiPriority w:val="0"/>
    <w:pPr>
      <w:spacing w:after="160" w:line="240" w:lineRule="auto"/>
    </w:pPr>
    <w:rPr>
      <w:sz w:val="24"/>
    </w:rPr>
  </w:style>
  <w:style w:type="paragraph" w:customStyle="1" w:styleId="84">
    <w:name w:val="封面标准文稿编辑信息"/>
    <w:basedOn w:val="83"/>
    <w:qFormat/>
    <w:uiPriority w:val="0"/>
    <w:pPr>
      <w:spacing w:before="180" w:line="180" w:lineRule="exact"/>
    </w:pPr>
    <w:rPr>
      <w:sz w:val="21"/>
    </w:rPr>
  </w:style>
  <w:style w:type="paragraph" w:customStyle="1" w:styleId="85">
    <w:name w:val="封面正文"/>
    <w:qFormat/>
    <w:uiPriority w:val="0"/>
    <w:pPr>
      <w:jc w:val="both"/>
    </w:pPr>
    <w:rPr>
      <w:rFonts w:ascii="Times New Roman" w:hAnsi="Times New Roman" w:eastAsia="宋体" w:cs="Times New Roman"/>
      <w:lang w:val="en-US" w:eastAsia="zh-CN" w:bidi="ar-SA"/>
    </w:rPr>
  </w:style>
  <w:style w:type="paragraph" w:customStyle="1" w:styleId="86">
    <w:name w:val="附录标识"/>
    <w:basedOn w:val="1"/>
    <w:next w:val="24"/>
    <w:qFormat/>
    <w:uiPriority w:val="0"/>
    <w:pPr>
      <w:keepNext/>
      <w:widowControl/>
      <w:numPr>
        <w:ilvl w:val="0"/>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7">
    <w:name w:val="附录标题"/>
    <w:basedOn w:val="24"/>
    <w:next w:val="24"/>
    <w:qFormat/>
    <w:uiPriority w:val="0"/>
    <w:pPr>
      <w:ind w:firstLine="0" w:firstLineChars="0"/>
      <w:jc w:val="center"/>
    </w:pPr>
    <w:rPr>
      <w:rFonts w:ascii="黑体" w:eastAsia="黑体"/>
    </w:rPr>
  </w:style>
  <w:style w:type="paragraph" w:customStyle="1" w:styleId="88">
    <w:name w:val="附录表标号"/>
    <w:basedOn w:val="1"/>
    <w:next w:val="24"/>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89">
    <w:name w:val="附录表标题"/>
    <w:basedOn w:val="1"/>
    <w:next w:val="24"/>
    <w:qFormat/>
    <w:uiPriority w:val="0"/>
    <w:pPr>
      <w:numPr>
        <w:ilvl w:val="1"/>
        <w:numId w:val="12"/>
      </w:numPr>
      <w:tabs>
        <w:tab w:val="left" w:pos="180"/>
      </w:tabs>
      <w:spacing w:beforeLines="50" w:afterLines="50"/>
      <w:ind w:left="0" w:firstLine="0"/>
      <w:jc w:val="center"/>
    </w:pPr>
    <w:rPr>
      <w:rFonts w:ascii="黑体" w:eastAsia="黑体"/>
      <w:szCs w:val="21"/>
    </w:rPr>
  </w:style>
  <w:style w:type="paragraph" w:customStyle="1" w:styleId="90">
    <w:name w:val="附录二级条标题"/>
    <w:basedOn w:val="1"/>
    <w:next w:val="24"/>
    <w:qFormat/>
    <w:uiPriority w:val="0"/>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1">
    <w:name w:val="附录二级无"/>
    <w:basedOn w:val="90"/>
    <w:qFormat/>
    <w:uiPriority w:val="0"/>
    <w:pPr>
      <w:tabs>
        <w:tab w:val="clear" w:pos="360"/>
      </w:tabs>
      <w:spacing w:beforeLines="0" w:afterLines="0"/>
    </w:pPr>
    <w:rPr>
      <w:rFonts w:ascii="宋体" w:eastAsia="宋体"/>
      <w:szCs w:val="21"/>
    </w:rPr>
  </w:style>
  <w:style w:type="paragraph" w:customStyle="1" w:styleId="92">
    <w:name w:val="附录公式"/>
    <w:basedOn w:val="24"/>
    <w:next w:val="24"/>
    <w:link w:val="93"/>
    <w:qFormat/>
    <w:uiPriority w:val="0"/>
  </w:style>
  <w:style w:type="character" w:customStyle="1" w:styleId="93">
    <w:name w:val="附录公式 Char"/>
    <w:basedOn w:val="43"/>
    <w:link w:val="92"/>
    <w:qFormat/>
    <w:uiPriority w:val="0"/>
    <w:rPr>
      <w:rFonts w:ascii="宋体"/>
      <w:sz w:val="21"/>
      <w:lang w:val="en-US" w:eastAsia="zh-CN" w:bidi="ar-SA"/>
    </w:rPr>
  </w:style>
  <w:style w:type="paragraph" w:customStyle="1" w:styleId="94">
    <w:name w:val="附录公式编号制表符"/>
    <w:basedOn w:val="1"/>
    <w:next w:val="24"/>
    <w:qFormat/>
    <w:uiPriority w:val="0"/>
    <w:pPr>
      <w:widowControl/>
      <w:tabs>
        <w:tab w:val="center" w:pos="4201"/>
        <w:tab w:val="right" w:leader="dot" w:pos="9298"/>
      </w:tabs>
      <w:autoSpaceDE w:val="0"/>
      <w:autoSpaceDN w:val="0"/>
    </w:pPr>
    <w:rPr>
      <w:rFonts w:ascii="宋体"/>
      <w:kern w:val="0"/>
      <w:szCs w:val="20"/>
    </w:rPr>
  </w:style>
  <w:style w:type="paragraph" w:customStyle="1" w:styleId="95">
    <w:name w:val="附录三级条标题"/>
    <w:basedOn w:val="90"/>
    <w:next w:val="24"/>
    <w:qFormat/>
    <w:uiPriority w:val="0"/>
    <w:pPr>
      <w:numPr>
        <w:ilvl w:val="4"/>
      </w:numPr>
      <w:outlineLvl w:val="4"/>
    </w:pPr>
  </w:style>
  <w:style w:type="paragraph" w:customStyle="1" w:styleId="96">
    <w:name w:val="附录三级无"/>
    <w:basedOn w:val="95"/>
    <w:qFormat/>
    <w:uiPriority w:val="0"/>
    <w:pPr>
      <w:tabs>
        <w:tab w:val="clear" w:pos="360"/>
      </w:tabs>
      <w:spacing w:beforeLines="0" w:afterLines="0"/>
    </w:pPr>
    <w:rPr>
      <w:rFonts w:ascii="宋体" w:eastAsia="宋体"/>
      <w:szCs w:val="21"/>
    </w:rPr>
  </w:style>
  <w:style w:type="paragraph" w:customStyle="1" w:styleId="97">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98">
    <w:name w:val="附录四级条标题"/>
    <w:basedOn w:val="95"/>
    <w:next w:val="24"/>
    <w:qFormat/>
    <w:uiPriority w:val="0"/>
    <w:pPr>
      <w:numPr>
        <w:ilvl w:val="5"/>
      </w:numPr>
      <w:outlineLvl w:val="5"/>
    </w:pPr>
  </w:style>
  <w:style w:type="paragraph" w:customStyle="1" w:styleId="99">
    <w:name w:val="附录四级无"/>
    <w:basedOn w:val="98"/>
    <w:qFormat/>
    <w:uiPriority w:val="0"/>
    <w:pPr>
      <w:tabs>
        <w:tab w:val="clear" w:pos="360"/>
      </w:tabs>
      <w:spacing w:beforeLines="0" w:afterLines="0"/>
    </w:pPr>
    <w:rPr>
      <w:rFonts w:ascii="宋体" w:eastAsia="宋体"/>
      <w:szCs w:val="21"/>
    </w:rPr>
  </w:style>
  <w:style w:type="paragraph" w:customStyle="1" w:styleId="100">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01">
    <w:name w:val="附录图标题"/>
    <w:basedOn w:val="1"/>
    <w:next w:val="24"/>
    <w:qFormat/>
    <w:uiPriority w:val="0"/>
    <w:pPr>
      <w:numPr>
        <w:ilvl w:val="1"/>
        <w:numId w:val="14"/>
      </w:numPr>
      <w:tabs>
        <w:tab w:val="left" w:pos="363"/>
      </w:tabs>
      <w:spacing w:beforeLines="50" w:afterLines="50"/>
      <w:ind w:left="0" w:firstLine="0"/>
      <w:jc w:val="center"/>
    </w:pPr>
    <w:rPr>
      <w:rFonts w:ascii="黑体" w:eastAsia="黑体"/>
      <w:szCs w:val="21"/>
    </w:rPr>
  </w:style>
  <w:style w:type="paragraph" w:customStyle="1" w:styleId="102">
    <w:name w:val="附录五级条标题"/>
    <w:basedOn w:val="98"/>
    <w:next w:val="24"/>
    <w:qFormat/>
    <w:uiPriority w:val="0"/>
    <w:pPr>
      <w:numPr>
        <w:ilvl w:val="6"/>
      </w:numPr>
      <w:outlineLvl w:val="6"/>
    </w:pPr>
  </w:style>
  <w:style w:type="paragraph" w:customStyle="1" w:styleId="103">
    <w:name w:val="附录五级无"/>
    <w:basedOn w:val="102"/>
    <w:qFormat/>
    <w:uiPriority w:val="0"/>
    <w:pPr>
      <w:tabs>
        <w:tab w:val="clear" w:pos="360"/>
      </w:tabs>
      <w:spacing w:beforeLines="0" w:afterLines="0"/>
    </w:pPr>
    <w:rPr>
      <w:rFonts w:ascii="宋体" w:eastAsia="宋体"/>
      <w:szCs w:val="21"/>
    </w:rPr>
  </w:style>
  <w:style w:type="paragraph" w:customStyle="1" w:styleId="104">
    <w:name w:val="附录章标题"/>
    <w:next w:val="24"/>
    <w:qFormat/>
    <w:uiPriority w:val="0"/>
    <w:pPr>
      <w:numPr>
        <w:ilvl w:val="1"/>
        <w:numId w:val="11"/>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5">
    <w:name w:val="附录一级条标题"/>
    <w:basedOn w:val="104"/>
    <w:next w:val="24"/>
    <w:qFormat/>
    <w:uiPriority w:val="0"/>
    <w:pPr>
      <w:numPr>
        <w:ilvl w:val="2"/>
      </w:numPr>
      <w:autoSpaceDN w:val="0"/>
      <w:spacing w:beforeLines="50" w:afterLines="50"/>
      <w:outlineLvl w:val="2"/>
    </w:pPr>
  </w:style>
  <w:style w:type="paragraph" w:customStyle="1" w:styleId="106">
    <w:name w:val="附录一级无"/>
    <w:basedOn w:val="105"/>
    <w:qFormat/>
    <w:uiPriority w:val="0"/>
    <w:pPr>
      <w:tabs>
        <w:tab w:val="clear" w:pos="360"/>
      </w:tabs>
      <w:spacing w:beforeLines="0" w:afterLines="0"/>
    </w:pPr>
    <w:rPr>
      <w:rFonts w:ascii="宋体" w:eastAsia="宋体"/>
      <w:szCs w:val="21"/>
    </w:rPr>
  </w:style>
  <w:style w:type="paragraph" w:customStyle="1" w:styleId="107">
    <w:name w:val="附录字母编号列项（一级）"/>
    <w:qFormat/>
    <w:uiPriority w:val="0"/>
    <w:pPr>
      <w:numPr>
        <w:ilvl w:val="0"/>
        <w:numId w:val="13"/>
      </w:numPr>
    </w:pPr>
    <w:rPr>
      <w:rFonts w:ascii="宋体" w:hAnsi="Times New Roman" w:eastAsia="宋体" w:cs="Times New Roman"/>
      <w:sz w:val="21"/>
      <w:lang w:val="en-US" w:eastAsia="zh-CN" w:bidi="ar-SA"/>
    </w:rPr>
  </w:style>
  <w:style w:type="paragraph" w:customStyle="1" w:styleId="108">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09">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0">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1">
    <w:name w:val="其他标准标志"/>
    <w:basedOn w:val="68"/>
    <w:qFormat/>
    <w:uiPriority w:val="0"/>
    <w:pPr>
      <w:framePr w:w="6101" w:vAnchor="page" w:hAnchor="page" w:x="4673" w:y="942"/>
    </w:pPr>
    <w:rPr>
      <w:w w:val="130"/>
    </w:rPr>
  </w:style>
  <w:style w:type="paragraph" w:customStyle="1" w:styleId="112">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3">
    <w:name w:val="其他发布部门"/>
    <w:basedOn w:val="76"/>
    <w:qFormat/>
    <w:uiPriority w:val="0"/>
    <w:pPr>
      <w:framePr w:y="15310"/>
      <w:spacing w:line="0" w:lineRule="atLeast"/>
    </w:pPr>
    <w:rPr>
      <w:rFonts w:ascii="黑体" w:eastAsia="黑体"/>
      <w:b w:val="0"/>
    </w:rPr>
  </w:style>
  <w:style w:type="paragraph" w:customStyle="1" w:styleId="114">
    <w:name w:val="前言、引言标题"/>
    <w:next w:val="2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5">
    <w:name w:val="三级无"/>
    <w:basedOn w:val="53"/>
    <w:qFormat/>
    <w:uiPriority w:val="0"/>
    <w:pPr>
      <w:spacing w:beforeLines="0" w:afterLines="0"/>
    </w:pPr>
    <w:rPr>
      <w:rFonts w:ascii="宋体" w:eastAsia="宋体"/>
    </w:rPr>
  </w:style>
  <w:style w:type="paragraph" w:customStyle="1" w:styleId="116">
    <w:name w:val="实施日期"/>
    <w:qFormat/>
    <w:uiPriority w:val="0"/>
    <w:pPr>
      <w:framePr w:w="3997" w:h="471" w:hRule="exact" w:vSpace="181" w:wrap="around" w:vAnchor="page" w:hAnchor="page" w:x="7089" w:y="14097"/>
      <w:jc w:val="right"/>
    </w:pPr>
    <w:rPr>
      <w:rFonts w:ascii="Times New Roman" w:hAnsi="Times New Roman" w:eastAsia="黑体" w:cs="Times New Roman"/>
      <w:sz w:val="28"/>
      <w:lang w:val="en-US" w:eastAsia="zh-CN" w:bidi="ar-SA"/>
    </w:rPr>
  </w:style>
  <w:style w:type="paragraph" w:customStyle="1" w:styleId="117">
    <w:name w:val="示例后文字"/>
    <w:basedOn w:val="24"/>
    <w:next w:val="24"/>
    <w:qFormat/>
    <w:uiPriority w:val="0"/>
    <w:pPr>
      <w:ind w:firstLine="360"/>
    </w:pPr>
    <w:rPr>
      <w:sz w:val="18"/>
    </w:rPr>
  </w:style>
  <w:style w:type="paragraph" w:customStyle="1" w:styleId="118">
    <w:name w:val="首示例"/>
    <w:next w:val="24"/>
    <w:link w:val="119"/>
    <w:qFormat/>
    <w:uiPriority w:val="0"/>
    <w:pPr>
      <w:tabs>
        <w:tab w:val="left" w:pos="360"/>
      </w:tabs>
    </w:pPr>
    <w:rPr>
      <w:rFonts w:ascii="宋体" w:hAnsi="宋体" w:eastAsia="宋体" w:cs="Times New Roman"/>
      <w:kern w:val="2"/>
      <w:sz w:val="18"/>
      <w:szCs w:val="18"/>
      <w:lang w:val="en-US" w:eastAsia="zh-CN" w:bidi="ar-SA"/>
    </w:rPr>
  </w:style>
  <w:style w:type="character" w:customStyle="1" w:styleId="119">
    <w:name w:val="首示例 Char"/>
    <w:link w:val="118"/>
    <w:qFormat/>
    <w:uiPriority w:val="0"/>
    <w:rPr>
      <w:rFonts w:ascii="宋体" w:hAnsi="宋体"/>
      <w:kern w:val="2"/>
      <w:sz w:val="18"/>
      <w:szCs w:val="18"/>
    </w:rPr>
  </w:style>
  <w:style w:type="paragraph" w:customStyle="1" w:styleId="120">
    <w:name w:val="四级无"/>
    <w:basedOn w:val="57"/>
    <w:qFormat/>
    <w:uiPriority w:val="0"/>
    <w:pPr>
      <w:spacing w:beforeLines="0" w:afterLines="0"/>
    </w:pPr>
    <w:rPr>
      <w:rFonts w:ascii="宋体" w:eastAsia="宋体"/>
    </w:rPr>
  </w:style>
  <w:style w:type="paragraph" w:customStyle="1" w:styleId="121">
    <w:name w:val="条文脚注"/>
    <w:basedOn w:val="25"/>
    <w:qFormat/>
    <w:uiPriority w:val="0"/>
    <w:pPr>
      <w:numPr>
        <w:numId w:val="0"/>
      </w:numPr>
      <w:jc w:val="both"/>
    </w:pPr>
  </w:style>
  <w:style w:type="paragraph" w:customStyle="1" w:styleId="122">
    <w:name w:val="图标脚注说明"/>
    <w:basedOn w:val="24"/>
    <w:qFormat/>
    <w:uiPriority w:val="0"/>
    <w:pPr>
      <w:ind w:left="840" w:hanging="420" w:firstLineChars="0"/>
    </w:pPr>
    <w:rPr>
      <w:sz w:val="18"/>
      <w:szCs w:val="18"/>
    </w:rPr>
  </w:style>
  <w:style w:type="paragraph" w:customStyle="1" w:styleId="123">
    <w:name w:val="图表脚注说明"/>
    <w:basedOn w:val="1"/>
    <w:qFormat/>
    <w:uiPriority w:val="0"/>
    <w:pPr>
      <w:numPr>
        <w:ilvl w:val="0"/>
        <w:numId w:val="15"/>
      </w:numPr>
    </w:pPr>
    <w:rPr>
      <w:rFonts w:ascii="宋体"/>
      <w:sz w:val="18"/>
      <w:szCs w:val="18"/>
    </w:rPr>
  </w:style>
  <w:style w:type="paragraph" w:customStyle="1" w:styleId="124">
    <w:name w:val="图的脚注"/>
    <w:next w:val="24"/>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5">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6">
    <w:name w:val="五级无"/>
    <w:basedOn w:val="58"/>
    <w:qFormat/>
    <w:uiPriority w:val="0"/>
    <w:pPr>
      <w:spacing w:beforeLines="0" w:afterLines="0"/>
    </w:pPr>
    <w:rPr>
      <w:rFonts w:ascii="宋体" w:eastAsia="宋体"/>
    </w:rPr>
  </w:style>
  <w:style w:type="paragraph" w:customStyle="1" w:styleId="127">
    <w:name w:val="一级无"/>
    <w:basedOn w:val="44"/>
    <w:qFormat/>
    <w:uiPriority w:val="0"/>
    <w:pPr>
      <w:spacing w:beforeLines="0" w:afterLines="0"/>
    </w:pPr>
    <w:rPr>
      <w:rFonts w:ascii="宋体" w:eastAsia="宋体"/>
    </w:rPr>
  </w:style>
  <w:style w:type="paragraph" w:customStyle="1" w:styleId="128">
    <w:name w:val="正文表标题"/>
    <w:next w:val="24"/>
    <w:qFormat/>
    <w:uiPriority w:val="0"/>
    <w:pPr>
      <w:numPr>
        <w:ilvl w:val="0"/>
        <w:numId w:val="16"/>
      </w:numPr>
      <w:spacing w:beforeLines="50" w:afterLines="50"/>
      <w:jc w:val="center"/>
    </w:pPr>
    <w:rPr>
      <w:rFonts w:ascii="黑体" w:hAnsi="Times New Roman" w:eastAsia="黑体" w:cs="Times New Roman"/>
      <w:sz w:val="21"/>
      <w:lang w:val="en-US" w:eastAsia="zh-CN" w:bidi="ar-SA"/>
    </w:rPr>
  </w:style>
  <w:style w:type="paragraph" w:customStyle="1" w:styleId="129">
    <w:name w:val="正文公式编号制表符"/>
    <w:basedOn w:val="24"/>
    <w:next w:val="24"/>
    <w:qFormat/>
    <w:uiPriority w:val="0"/>
    <w:pPr>
      <w:ind w:firstLine="0" w:firstLineChars="0"/>
    </w:pPr>
  </w:style>
  <w:style w:type="paragraph" w:customStyle="1" w:styleId="130">
    <w:name w:val="正文图标题"/>
    <w:next w:val="24"/>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31">
    <w:name w:val="终结线"/>
    <w:basedOn w:val="1"/>
    <w:qFormat/>
    <w:uiPriority w:val="0"/>
    <w:pPr>
      <w:framePr w:hSpace="181" w:vSpace="181" w:wrap="around" w:vAnchor="text" w:hAnchor="margin" w:xAlign="center" w:y="285"/>
    </w:pPr>
  </w:style>
  <w:style w:type="paragraph" w:customStyle="1" w:styleId="132">
    <w:name w:val="其他发布日期"/>
    <w:qFormat/>
    <w:uiPriority w:val="0"/>
    <w:pPr>
      <w:framePr w:w="3997" w:h="471" w:hRule="exact" w:vSpace="181" w:wrap="around" w:vAnchor="page" w:hAnchor="page" w:x="1419" w:y="14097" w:anchorLock="1"/>
    </w:pPr>
    <w:rPr>
      <w:rFonts w:ascii="Times New Roman" w:hAnsi="Times New Roman" w:eastAsia="黑体" w:cs="Times New Roman"/>
      <w:sz w:val="28"/>
      <w:lang w:val="en-US" w:eastAsia="zh-CN" w:bidi="ar-SA"/>
    </w:rPr>
  </w:style>
  <w:style w:type="paragraph" w:customStyle="1" w:styleId="133">
    <w:name w:val="其他实施日期"/>
    <w:basedOn w:val="116"/>
    <w:qFormat/>
    <w:uiPriority w:val="0"/>
  </w:style>
  <w:style w:type="paragraph" w:customStyle="1" w:styleId="134">
    <w:name w:val="封面标准名称2"/>
    <w:basedOn w:val="80"/>
    <w:qFormat/>
    <w:uiPriority w:val="0"/>
    <w:pPr>
      <w:framePr w:y="4469"/>
      <w:spacing w:beforeLines="630"/>
    </w:pPr>
  </w:style>
  <w:style w:type="paragraph" w:customStyle="1" w:styleId="135">
    <w:name w:val="封面标准英文名称2"/>
    <w:basedOn w:val="81"/>
    <w:qFormat/>
    <w:uiPriority w:val="0"/>
    <w:pPr>
      <w:framePr w:y="4469"/>
    </w:pPr>
  </w:style>
  <w:style w:type="paragraph" w:customStyle="1" w:styleId="136">
    <w:name w:val="封面一致性程度标识2"/>
    <w:basedOn w:val="82"/>
    <w:qFormat/>
    <w:uiPriority w:val="0"/>
    <w:pPr>
      <w:framePr w:y="4469"/>
    </w:pPr>
  </w:style>
  <w:style w:type="paragraph" w:customStyle="1" w:styleId="137">
    <w:name w:val="封面标准文稿类别2"/>
    <w:basedOn w:val="83"/>
    <w:qFormat/>
    <w:uiPriority w:val="0"/>
    <w:pPr>
      <w:framePr w:y="4469"/>
    </w:pPr>
  </w:style>
  <w:style w:type="paragraph" w:customStyle="1" w:styleId="138">
    <w:name w:val="封面标准文稿编辑信息2"/>
    <w:basedOn w:val="84"/>
    <w:qFormat/>
    <w:uiPriority w:val="0"/>
    <w:pPr>
      <w:framePr w:y="4469"/>
    </w:pPr>
  </w:style>
  <w:style w:type="paragraph" w:customStyle="1" w:styleId="139">
    <w:name w:val="标准名称"/>
    <w:basedOn w:val="52"/>
    <w:link w:val="142"/>
    <w:qFormat/>
    <w:uiPriority w:val="0"/>
  </w:style>
  <w:style w:type="character" w:styleId="140">
    <w:name w:val="Placeholder Text"/>
    <w:basedOn w:val="36"/>
    <w:semiHidden/>
    <w:qFormat/>
    <w:uiPriority w:val="99"/>
    <w:rPr>
      <w:color w:val="808080"/>
    </w:rPr>
  </w:style>
  <w:style w:type="character" w:customStyle="1" w:styleId="141">
    <w:name w:val="目次、标准名称标题 Char"/>
    <w:basedOn w:val="36"/>
    <w:link w:val="52"/>
    <w:qFormat/>
    <w:uiPriority w:val="0"/>
    <w:rPr>
      <w:rFonts w:ascii="黑体" w:eastAsia="黑体"/>
      <w:sz w:val="32"/>
      <w:shd w:val="clear" w:color="FFFFFF" w:fill="FFFFFF"/>
    </w:rPr>
  </w:style>
  <w:style w:type="character" w:customStyle="1" w:styleId="142">
    <w:name w:val="标准名称 Char"/>
    <w:basedOn w:val="141"/>
    <w:link w:val="139"/>
    <w:qFormat/>
    <w:uiPriority w:val="0"/>
    <w:rPr>
      <w:rFonts w:ascii="黑体" w:eastAsia="黑体"/>
      <w:sz w:val="32"/>
      <w:shd w:val="clear" w:color="FFFFFF" w:fill="FFFFFF"/>
    </w:rPr>
  </w:style>
  <w:style w:type="character" w:customStyle="1" w:styleId="143">
    <w:name w:val="批注框文本 Char"/>
    <w:basedOn w:val="36"/>
    <w:link w:val="17"/>
    <w:qFormat/>
    <w:uiPriority w:val="0"/>
    <w:rPr>
      <w:kern w:val="2"/>
      <w:sz w:val="18"/>
      <w:szCs w:val="18"/>
    </w:rPr>
  </w:style>
  <w:style w:type="character" w:customStyle="1" w:styleId="144">
    <w:name w:val="批注文字 Char"/>
    <w:basedOn w:val="36"/>
    <w:link w:val="8"/>
    <w:semiHidden/>
    <w:qFormat/>
    <w:uiPriority w:val="0"/>
    <w:rPr>
      <w:kern w:val="2"/>
      <w:sz w:val="21"/>
      <w:szCs w:val="24"/>
    </w:rPr>
  </w:style>
  <w:style w:type="character" w:customStyle="1" w:styleId="145">
    <w:name w:val="批注主题 Char"/>
    <w:basedOn w:val="144"/>
    <w:link w:val="33"/>
    <w:semiHidden/>
    <w:qFormat/>
    <w:uiPriority w:val="99"/>
    <w:rPr>
      <w:b/>
      <w:bCs/>
      <w:kern w:val="2"/>
      <w:sz w:val="21"/>
      <w:szCs w:val="24"/>
    </w:rPr>
  </w:style>
  <w:style w:type="paragraph" w:customStyle="1" w:styleId="146">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4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48">
    <w:name w:val="Table Paragraph"/>
    <w:basedOn w:val="1"/>
    <w:qFormat/>
    <w:uiPriority w:val="1"/>
    <w:pPr>
      <w:spacing w:line="252" w:lineRule="exact"/>
      <w:jc w:val="center"/>
    </w:pPr>
    <w:rPr>
      <w:rFonts w:ascii="宋体" w:hAnsi="宋体" w:cs="宋体"/>
      <w:lang w:val="zh-CN" w:bidi="zh-CN"/>
    </w:rPr>
  </w:style>
  <w:style w:type="character" w:customStyle="1" w:styleId="149">
    <w:name w:val="页脚 Char"/>
    <w:basedOn w:val="36"/>
    <w:link w:val="18"/>
    <w:qFormat/>
    <w:uiPriority w:val="99"/>
    <w:rPr>
      <w:rFonts w:ascii="Times New Roman" w:hAnsi="Times New Roman" w:eastAsia="宋体" w:cs="Times New Roman"/>
      <w:kern w:val="2"/>
      <w:sz w:val="18"/>
      <w:szCs w:val="18"/>
    </w:rPr>
  </w:style>
  <w:style w:type="paragraph" w:styleId="150">
    <w:name w:val="List Paragraph"/>
    <w:basedOn w:val="1"/>
    <w:unhideWhenUsed/>
    <w:qFormat/>
    <w:uiPriority w:val="34"/>
    <w:pPr>
      <w:ind w:firstLine="420" w:firstLineChars="200"/>
    </w:pPr>
  </w:style>
  <w:style w:type="character" w:customStyle="1" w:styleId="151">
    <w:name w:val="Body text|2 + Times New Roman"/>
    <w:unhideWhenUsed/>
    <w:qFormat/>
    <w:uiPriority w:val="0"/>
    <w:rPr>
      <w:rFonts w:ascii="Times New Roman" w:hAnsi="Times New Roman" w:eastAsia="Times New Roman" w:cs="Times New Roman"/>
      <w:color w:val="000000"/>
      <w:spacing w:val="0"/>
      <w:w w:val="100"/>
      <w:kern w:val="0"/>
      <w:position w:val="0"/>
      <w:sz w:val="44"/>
      <w:szCs w:val="44"/>
      <w:u w:val="none"/>
      <w:lang w:val="en-US" w:eastAsia="en-US" w:bidi="en-US"/>
    </w:rPr>
  </w:style>
  <w:style w:type="character" w:customStyle="1" w:styleId="152">
    <w:name w:val="Body text|2 + 10.5 pt"/>
    <w:unhideWhenUsed/>
    <w:qFormat/>
    <w:uiPriority w:val="0"/>
    <w:rPr>
      <w:rFonts w:ascii="PMingLiU" w:hAnsi="PMingLiU" w:eastAsia="PMingLiU" w:cs="PMingLiU"/>
      <w:color w:val="000000"/>
      <w:spacing w:val="0"/>
      <w:w w:val="100"/>
      <w:kern w:val="0"/>
      <w:position w:val="0"/>
      <w:sz w:val="21"/>
      <w:szCs w:val="21"/>
      <w:u w:val="none"/>
      <w:lang w:val="en-US" w:eastAsia="en-US" w:bidi="en-US"/>
    </w:rPr>
  </w:style>
  <w:style w:type="paragraph" w:customStyle="1" w:styleId="153">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54">
    <w:name w:val="正文文本 (2)_"/>
    <w:link w:val="155"/>
    <w:qFormat/>
    <w:locked/>
    <w:uiPriority w:val="99"/>
    <w:rPr>
      <w:rFonts w:ascii="MingLiU" w:eastAsia="MingLiU" w:cs="MingLiU"/>
      <w:spacing w:val="10"/>
      <w:kern w:val="0"/>
      <w:sz w:val="20"/>
      <w:szCs w:val="20"/>
    </w:rPr>
  </w:style>
  <w:style w:type="paragraph" w:customStyle="1" w:styleId="155">
    <w:name w:val="正文文本 (2)1"/>
    <w:basedOn w:val="1"/>
    <w:link w:val="154"/>
    <w:qFormat/>
    <w:uiPriority w:val="99"/>
    <w:pPr>
      <w:shd w:val="clear" w:color="auto" w:fill="FFFFFF"/>
      <w:spacing w:line="313" w:lineRule="exact"/>
      <w:ind w:hanging="420"/>
      <w:jc w:val="distribute"/>
    </w:pPr>
    <w:rPr>
      <w:rFonts w:ascii="MingLiU" w:eastAsia="MingLiU" w:cs="MingLiU"/>
      <w:spacing w:val="10"/>
      <w:kern w:val="0"/>
      <w:sz w:val="20"/>
      <w:szCs w:val="20"/>
    </w:rPr>
  </w:style>
  <w:style w:type="paragraph" w:customStyle="1" w:styleId="156">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157">
    <w:name w:val="修订4"/>
    <w:hidden/>
    <w:semiHidden/>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customXml" Target="../customXml/item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11"/>
        <w:style w:val=""/>
        <w:category>
          <w:name w:val="常规"/>
          <w:gallery w:val="placeholder"/>
        </w:category>
        <w:types>
          <w:type w:val="bbPlcHdr"/>
        </w:types>
        <w:behaviors>
          <w:behavior w:val="content"/>
        </w:behaviors>
        <w:description w:val=""/>
        <w:guid w:val="{028989F2-0355-49D4-BDA6-4D56B5D374C0}"/>
      </w:docPartPr>
      <w:docPartBody>
        <w:p w14:paraId="3EAFBE9E">
          <w:pPr>
            <w:pStyle w:val="5"/>
          </w:pPr>
          <w:r>
            <w:rPr>
              <w:rStyle w:val="4"/>
              <w:rFonts w:hint="eastAsia"/>
            </w:rPr>
            <w:t>标准名称</w:t>
          </w:r>
        </w:p>
      </w:docPartBody>
    </w:docPart>
    <w:docPart>
      <w:docPartPr>
        <w:name w:val="{0b88b656-0384-4ed9-a499-7c9a6dcd25e4}"/>
        <w:style w:val=""/>
        <w:category>
          <w:name w:val="常规"/>
          <w:gallery w:val="placeholder"/>
        </w:category>
        <w:types>
          <w:type w:val="bbPlcHdr"/>
        </w:types>
        <w:behaviors>
          <w:behavior w:val="content"/>
        </w:behaviors>
        <w:description w:val=""/>
        <w:guid w:val="{0b88b656-0384-4ed9-a499-7c9a6dcd25e4}"/>
      </w:docPartPr>
      <w:docPartBody>
        <w:p w14:paraId="00CE4F53">
          <w:r>
            <w:rPr>
              <w:rFonts w:hint="eastAsia"/>
            </w:rPr>
            <w:t>标准名称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13A"/>
    <w:rsid w:val="000174F1"/>
    <w:rsid w:val="0002647A"/>
    <w:rsid w:val="0002653F"/>
    <w:rsid w:val="00080DE3"/>
    <w:rsid w:val="00087E40"/>
    <w:rsid w:val="000C73CF"/>
    <w:rsid w:val="001079A7"/>
    <w:rsid w:val="001132F9"/>
    <w:rsid w:val="00114ABC"/>
    <w:rsid w:val="001409A8"/>
    <w:rsid w:val="001454E1"/>
    <w:rsid w:val="00172434"/>
    <w:rsid w:val="00174D17"/>
    <w:rsid w:val="00183D27"/>
    <w:rsid w:val="001C16E0"/>
    <w:rsid w:val="001E603E"/>
    <w:rsid w:val="002068C7"/>
    <w:rsid w:val="002250D2"/>
    <w:rsid w:val="002301FD"/>
    <w:rsid w:val="0023622F"/>
    <w:rsid w:val="00250183"/>
    <w:rsid w:val="00290AD5"/>
    <w:rsid w:val="002B4482"/>
    <w:rsid w:val="002D2C8D"/>
    <w:rsid w:val="002E723B"/>
    <w:rsid w:val="00323E80"/>
    <w:rsid w:val="0033048E"/>
    <w:rsid w:val="003372E5"/>
    <w:rsid w:val="00347468"/>
    <w:rsid w:val="003750AF"/>
    <w:rsid w:val="003A1E2F"/>
    <w:rsid w:val="003C7BD2"/>
    <w:rsid w:val="00425799"/>
    <w:rsid w:val="00430F92"/>
    <w:rsid w:val="00477AF4"/>
    <w:rsid w:val="004C5282"/>
    <w:rsid w:val="004F113A"/>
    <w:rsid w:val="004F1EC5"/>
    <w:rsid w:val="005018F0"/>
    <w:rsid w:val="00515A81"/>
    <w:rsid w:val="005335DD"/>
    <w:rsid w:val="00595E09"/>
    <w:rsid w:val="005B5A89"/>
    <w:rsid w:val="00601A8D"/>
    <w:rsid w:val="00606EC3"/>
    <w:rsid w:val="00622B81"/>
    <w:rsid w:val="006318BC"/>
    <w:rsid w:val="00674FBA"/>
    <w:rsid w:val="00684040"/>
    <w:rsid w:val="00692644"/>
    <w:rsid w:val="006D02E4"/>
    <w:rsid w:val="007216E9"/>
    <w:rsid w:val="00735FC6"/>
    <w:rsid w:val="007810F0"/>
    <w:rsid w:val="00786A81"/>
    <w:rsid w:val="007C6ACB"/>
    <w:rsid w:val="007E2797"/>
    <w:rsid w:val="00800293"/>
    <w:rsid w:val="00811CD1"/>
    <w:rsid w:val="00820E7E"/>
    <w:rsid w:val="00826DFE"/>
    <w:rsid w:val="0084456C"/>
    <w:rsid w:val="00857CF2"/>
    <w:rsid w:val="008A4C96"/>
    <w:rsid w:val="008C1128"/>
    <w:rsid w:val="008E024D"/>
    <w:rsid w:val="008E419F"/>
    <w:rsid w:val="008F0268"/>
    <w:rsid w:val="00902EF8"/>
    <w:rsid w:val="00957FC1"/>
    <w:rsid w:val="0096009F"/>
    <w:rsid w:val="00982DAC"/>
    <w:rsid w:val="00985B87"/>
    <w:rsid w:val="00985D97"/>
    <w:rsid w:val="00987F49"/>
    <w:rsid w:val="00991B6A"/>
    <w:rsid w:val="009B16B1"/>
    <w:rsid w:val="009C45C8"/>
    <w:rsid w:val="009E6CA3"/>
    <w:rsid w:val="00A521C5"/>
    <w:rsid w:val="00A666AC"/>
    <w:rsid w:val="00A7198F"/>
    <w:rsid w:val="00A73642"/>
    <w:rsid w:val="00A94E45"/>
    <w:rsid w:val="00AA6D99"/>
    <w:rsid w:val="00AD4153"/>
    <w:rsid w:val="00AD6808"/>
    <w:rsid w:val="00AE43D9"/>
    <w:rsid w:val="00B412BC"/>
    <w:rsid w:val="00B601E5"/>
    <w:rsid w:val="00B717AC"/>
    <w:rsid w:val="00BC67AA"/>
    <w:rsid w:val="00BD6C1F"/>
    <w:rsid w:val="00BD7FF4"/>
    <w:rsid w:val="00BE0309"/>
    <w:rsid w:val="00BE72EE"/>
    <w:rsid w:val="00BF7B69"/>
    <w:rsid w:val="00C06FDA"/>
    <w:rsid w:val="00C15F0B"/>
    <w:rsid w:val="00C22950"/>
    <w:rsid w:val="00C74553"/>
    <w:rsid w:val="00C875D2"/>
    <w:rsid w:val="00CB0B2B"/>
    <w:rsid w:val="00D03AC8"/>
    <w:rsid w:val="00D222C5"/>
    <w:rsid w:val="00D4454B"/>
    <w:rsid w:val="00D65DD7"/>
    <w:rsid w:val="00D665B5"/>
    <w:rsid w:val="00D94983"/>
    <w:rsid w:val="00DA4409"/>
    <w:rsid w:val="00DB1E36"/>
    <w:rsid w:val="00DB7F94"/>
    <w:rsid w:val="00DC6DC9"/>
    <w:rsid w:val="00DF10FC"/>
    <w:rsid w:val="00E14642"/>
    <w:rsid w:val="00E426AB"/>
    <w:rsid w:val="00E755F5"/>
    <w:rsid w:val="00E95A08"/>
    <w:rsid w:val="00EA15BD"/>
    <w:rsid w:val="00EA32AC"/>
    <w:rsid w:val="00F07123"/>
    <w:rsid w:val="00F77957"/>
    <w:rsid w:val="00F879E0"/>
    <w:rsid w:val="00F93653"/>
    <w:rsid w:val="00FD0835"/>
    <w:rsid w:val="00FF0B73"/>
    <w:rsid w:val="00FF0EC1"/>
    <w:rsid w:val="00FF3A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112"/>
    <w:qFormat/>
    <w:uiPriority w:val="0"/>
    <w:pPr>
      <w:keepNext/>
      <w:pageBreakBefore/>
      <w:shd w:val="clear" w:color="FFFFFF" w:fill="FFFFFF"/>
      <w:spacing w:before="640" w:after="560" w:line="460" w:lineRule="exact"/>
      <w:jc w:val="center"/>
      <w:outlineLvl w:val="0"/>
    </w:pPr>
    <w:rPr>
      <w:rFonts w:ascii="黑体" w:hAnsi="Times New Roman" w:eastAsia="黑体" w:cs="Times New Roman"/>
      <w:sz w:val="32"/>
      <w:lang w:val="en-US" w:eastAsia="zh-CN" w:bidi="ar-SA"/>
    </w:rPr>
  </w:style>
  <w:style w:type="paragraph" w:customStyle="1" w:styleId="6">
    <w:name w:val="D459B91597B54DF6A70EB652A15DA49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17458E664CB45BCA608302853567C5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1775FB1B206741C19EA868C2F368190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1B022D-CC5C-42BB-AEED-AD6744027C79}">
  <ds:schemaRefs/>
</ds:datastoreItem>
</file>

<file path=docProps/app.xml><?xml version="1.0" encoding="utf-8"?>
<Properties xmlns="http://schemas.openxmlformats.org/officeDocument/2006/extended-properties" xmlns:vt="http://schemas.openxmlformats.org/officeDocument/2006/docPropsVTypes">
  <Template>Normal</Template>
  <Company>zle</Company>
  <Pages>8</Pages>
  <Words>1730</Words>
  <Characters>2368</Characters>
  <Lines>47</Lines>
  <Paragraphs>13</Paragraphs>
  <TotalTime>12</TotalTime>
  <ScaleCrop>false</ScaleCrop>
  <LinksUpToDate>false</LinksUpToDate>
  <CharactersWithSpaces>2724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2022-03-04T02:57:00Z</dcterms:created>
  <dc:creator>CNIS</dc:creator>
  <cp:lastModifiedBy>SZLSBA</cp:lastModifiedBy>
  <cp:lastPrinted>2022-05-21T07:04:00Z</cp:lastPrinted>
  <dcterms:modified xsi:type="dcterms:W3CDTF">2026-08-14T06:38:35Z</dcterms:modified>
  <dc:title>标准名称</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B0CD45DDC3114667AA8A22F4232EDB42_13</vt:lpwstr>
  </property>
  <property fmtid="{D5CDD505-2E9C-101B-9397-08002B2CF9AE}" pid="4" name="KSOTemplateDocerSaveRecord">
    <vt:lpwstr>eyJoZGlkIjoiZDZmOTY5NTRhYzFhNGI1Y2RiZTJhYjI1Y2JiM2JmOGQiLCJ1c2VySWQiOiI2NjkxMzA5MzAifQ==</vt:lpwstr>
  </property>
</Properties>
</file>